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sz w:val="28"/>
        </w:rPr>
      </w:pPr>
      <w:r>
        <w:rPr>
          <w:b/>
          <w:sz w:val="28"/>
        </w:rPr>
        <w:t>COMUNICAT DE PRESĂ</w:t>
      </w:r>
    </w:p>
    <w:p>
      <w:pPr>
        <w:jc w:val="both"/>
      </w:pPr>
      <w:r>
        <w:t>București, 15.05.2019</w:t>
      </w:r>
    </w:p>
    <w:p>
      <w:pPr>
        <w:jc w:val="both"/>
        <w:rPr>
          <w:b/>
          <w:sz w:val="28"/>
          <w:lang w:val="ro-RO"/>
        </w:rPr>
      </w:pPr>
    </w:p>
    <w:p>
      <w:pPr>
        <w:jc w:val="both"/>
        <w:rPr>
          <w:b/>
          <w:sz w:val="28"/>
          <w:lang w:val="ro-RO"/>
        </w:rPr>
      </w:pPr>
      <w:r>
        <w:rPr>
          <w:b/>
          <w:sz w:val="28"/>
          <w:lang w:val="ro-RO"/>
        </w:rPr>
        <w:t>Rezultate financiare pozitive pentru Digi Communications N.V., în trimestrul I 2019</w:t>
      </w:r>
    </w:p>
    <w:p>
      <w:pPr>
        <w:pStyle w:val="17"/>
        <w:numPr>
          <w:ilvl w:val="0"/>
          <w:numId w:val="1"/>
        </w:numPr>
        <w:jc w:val="both"/>
        <w:rPr>
          <w:i/>
          <w:lang w:val="ro-RO"/>
        </w:rPr>
      </w:pPr>
      <w:r>
        <w:rPr>
          <w:b/>
          <w:i/>
          <w:lang w:val="ro-RO"/>
        </w:rPr>
        <w:t xml:space="preserve">281,2 milioane EUR </w:t>
      </w:r>
      <w:r>
        <w:rPr>
          <w:i/>
          <w:lang w:val="ro-RO"/>
        </w:rPr>
        <w:t>venituri consolidate Grup (pe primele 3 luni ale anului 2019),</w:t>
      </w:r>
      <w:r>
        <w:rPr>
          <w:b/>
          <w:i/>
          <w:lang w:val="ro-RO"/>
        </w:rPr>
        <w:t xml:space="preserve"> în creștere cu 20,8 % </w:t>
      </w:r>
      <w:r>
        <w:rPr>
          <w:i/>
          <w:lang w:val="ro-RO"/>
        </w:rPr>
        <w:t>față de aceeași perioadă a anului 2018</w:t>
      </w:r>
    </w:p>
    <w:p>
      <w:pPr>
        <w:pStyle w:val="17"/>
        <w:numPr>
          <w:ilvl w:val="0"/>
          <w:numId w:val="1"/>
        </w:numPr>
        <w:jc w:val="both"/>
        <w:rPr>
          <w:b/>
          <w:i/>
          <w:lang w:val="ro-RO"/>
        </w:rPr>
      </w:pPr>
      <w:r>
        <w:rPr>
          <w:b/>
          <w:i/>
          <w:lang w:val="ro-RO"/>
        </w:rPr>
        <w:t>15,2 milioane unități generatoare de venit (RGU</w:t>
      </w:r>
      <w:r>
        <w:rPr>
          <w:i/>
          <w:lang w:val="ro-RO"/>
        </w:rPr>
        <w:t>), toate serviciile</w:t>
      </w:r>
      <w:r>
        <w:rPr>
          <w:b/>
          <w:i/>
          <w:lang w:val="ro-RO"/>
        </w:rPr>
        <w:t xml:space="preserve"> (+ 13% </w:t>
      </w:r>
      <w:r>
        <w:rPr>
          <w:i/>
          <w:lang w:val="ro-RO"/>
        </w:rPr>
        <w:t>la 31 martie 2019 față de 31 martie 2018)</w:t>
      </w:r>
    </w:p>
    <w:p>
      <w:pPr>
        <w:pStyle w:val="17"/>
        <w:numPr>
          <w:ilvl w:val="0"/>
          <w:numId w:val="1"/>
        </w:numPr>
        <w:jc w:val="both"/>
        <w:rPr>
          <w:b/>
          <w:i/>
          <w:lang w:val="ro-RO"/>
        </w:rPr>
      </w:pPr>
      <w:r>
        <w:rPr>
          <w:b/>
          <w:i/>
          <w:lang w:val="ro-RO"/>
        </w:rPr>
        <w:t xml:space="preserve">90,7 milioane EUR EBITDA </w:t>
      </w:r>
      <w:r>
        <w:rPr>
          <w:i/>
          <w:lang w:val="ro-RO"/>
        </w:rPr>
        <w:t>ajustată (cumulat pe primele 3 luni ale anului 2019),</w:t>
      </w:r>
      <w:r>
        <w:rPr>
          <w:b/>
          <w:i/>
          <w:lang w:val="ro-RO"/>
        </w:rPr>
        <w:t xml:space="preserve"> în creștere cu 17,1 % </w:t>
      </w:r>
      <w:r>
        <w:rPr>
          <w:i/>
          <w:lang w:val="ro-RO"/>
        </w:rPr>
        <w:t>față de aceeași perioadă a anului 2018</w:t>
      </w:r>
    </w:p>
    <w:p>
      <w:pPr>
        <w:pStyle w:val="17"/>
        <w:numPr>
          <w:ilvl w:val="0"/>
          <w:numId w:val="2"/>
        </w:numPr>
        <w:jc w:val="both"/>
        <w:rPr>
          <w:b/>
          <w:i/>
          <w:lang w:val="ro-RO"/>
        </w:rPr>
      </w:pPr>
      <w:r>
        <w:rPr>
          <w:i/>
          <w:lang w:val="ro-RO"/>
        </w:rPr>
        <w:t xml:space="preserve">În România, </w:t>
      </w:r>
      <w:r>
        <w:rPr>
          <w:b/>
          <w:i/>
          <w:lang w:val="ro-RO"/>
        </w:rPr>
        <w:t xml:space="preserve">principalii vectori operaționali de creștere (RGU): serviciile de Internet (+11,3%) și serviciile de televiziune prin cablu (+10,3 %) </w:t>
      </w:r>
    </w:p>
    <w:p>
      <w:pPr>
        <w:pStyle w:val="17"/>
        <w:numPr>
          <w:ilvl w:val="0"/>
          <w:numId w:val="2"/>
        </w:numPr>
        <w:jc w:val="both"/>
        <w:rPr>
          <w:b/>
          <w:i/>
          <w:lang w:val="ro-RO"/>
        </w:rPr>
      </w:pPr>
      <w:r>
        <w:rPr>
          <w:b/>
          <w:i/>
          <w:lang w:val="ro-RO"/>
        </w:rPr>
        <w:t>Digi Spania</w:t>
      </w:r>
      <w:r>
        <w:rPr>
          <w:i/>
          <w:lang w:val="ro-RO"/>
        </w:rPr>
        <w:t xml:space="preserve"> continuă ritmul de creștere accelerată a bazei de clienți:</w:t>
      </w:r>
      <w:r>
        <w:rPr>
          <w:b/>
          <w:i/>
          <w:lang w:val="ro-RO"/>
        </w:rPr>
        <w:t xml:space="preserve"> numărul RGU de telefonie mobilă crește cu 49,6% </w:t>
      </w:r>
      <w:r>
        <w:rPr>
          <w:i/>
          <w:lang w:val="ro-RO"/>
        </w:rPr>
        <w:t>(</w:t>
      </w:r>
      <w:r>
        <w:rPr>
          <w:b/>
          <w:i/>
          <w:lang w:val="ro-RO"/>
        </w:rPr>
        <w:t xml:space="preserve">1,5 milioane RGU </w:t>
      </w:r>
      <w:r>
        <w:rPr>
          <w:i/>
          <w:lang w:val="ro-RO"/>
        </w:rPr>
        <w:t>la 31 martie 2019)</w:t>
      </w:r>
      <w:r>
        <w:rPr>
          <w:b/>
          <w:i/>
          <w:lang w:val="ro-RO"/>
        </w:rPr>
        <w:t xml:space="preserve"> și numărul de unități generatoare de venituri pe segmentul serviciilor fixe ajunge la 26.000</w:t>
      </w:r>
      <w:r>
        <w:rPr>
          <w:i/>
          <w:lang w:val="ro-RO"/>
        </w:rPr>
        <w:t>,</w:t>
      </w:r>
      <w:r>
        <w:rPr>
          <w:b/>
          <w:i/>
          <w:lang w:val="ro-RO"/>
        </w:rPr>
        <w:t xml:space="preserve"> </w:t>
      </w:r>
      <w:r>
        <w:rPr>
          <w:i/>
          <w:lang w:val="ro-RO"/>
        </w:rPr>
        <w:t>după șase luni de la lansare</w:t>
      </w:r>
    </w:p>
    <w:p>
      <w:pPr>
        <w:spacing w:after="0"/>
        <w:jc w:val="both"/>
        <w:rPr>
          <w:lang w:val="ro-RO"/>
        </w:rPr>
      </w:pPr>
    </w:p>
    <w:p>
      <w:pPr>
        <w:spacing w:after="0"/>
        <w:ind w:firstLine="360"/>
        <w:jc w:val="both"/>
        <w:rPr>
          <w:lang w:val="ro-RO"/>
        </w:rPr>
      </w:pPr>
      <w:r>
        <w:rPr>
          <w:lang w:val="ro-RO"/>
        </w:rPr>
        <w:t xml:space="preserve">Grupul Digi Communications NV a făcut publice miercuri, 15 mai, rezultatele financiare pentru trimestrul I 2019, anunțând o creștere a veniturilor cu 20,8 % în raport cu aceeași perioadă a anului trecut, de la 232,8 milioane EUR la 281,2 milioane EUR. EBITDA ajustată a fost de aproximativ 90,7 milioane EUR, inclusiv rezultatele consolidate ale Invitel, în creștere cu 17,1% față de aceeași perioadă a anului 2018 (77,5 milioane EUR la 31 martie 2018). </w:t>
      </w:r>
      <w:r>
        <w:rPr>
          <w:lang w:val="ro-RO"/>
        </w:rPr>
        <w:tab/>
      </w:r>
    </w:p>
    <w:p>
      <w:pPr>
        <w:spacing w:after="0"/>
        <w:ind w:firstLine="360"/>
        <w:jc w:val="both"/>
        <w:rPr>
          <w:lang w:val="ro-RO"/>
        </w:rPr>
      </w:pPr>
      <w:r>
        <w:rPr>
          <w:lang w:val="ro-RO"/>
        </w:rPr>
        <w:t xml:space="preserve">România se menține ca piață principală a grupului, generând 64,4 % din veniturile acestuia, pe locul al doilea fiind Ungaria (cu 19,6%), urmată de Spania (14%) și Italia (2%). În total, pe cele patru piețe, Grupul înregistrează o creștere a RGU de 1,76 milioane, inclusiv unitățile generatoare de venit ale Invitel, și depășește pragul de 15 milioane RGU. Astfel, dacă în trimestrul I al anului 2018, Grupul înregistra 13,45 milioane RGU, un an mai târziu, numărul total de unități generatoare de venituri ajungea la 15,2 milioane. </w:t>
      </w:r>
    </w:p>
    <w:p>
      <w:pPr>
        <w:spacing w:after="0"/>
        <w:ind w:firstLine="360"/>
        <w:jc w:val="both"/>
        <w:rPr>
          <w:lang w:val="ro-RO"/>
        </w:rPr>
      </w:pPr>
      <w:r>
        <w:rPr>
          <w:lang w:val="ro-RO"/>
        </w:rPr>
        <w:t>Totodată, Grupul a afișat indicatori în creștere pentru principalele servicii – televiziune prin cablu (+ 14,1%, de la 3,6 milioane RGU, la nivelul grupului, la 4,1 milioane RGU), respectiv pentru serviciile de internet fix (+ 19,2%, de la 2,8 milioane RGU la 3,3 milioane RGU). La 31 martie 2019, Digi Communications N.V. avea 4,9 milioane RGU pe segmentul serviciilor de telefonie mobilă, comparativ cu 4,4 milioane RGU la 31 martie 2018.</w:t>
      </w:r>
    </w:p>
    <w:p>
      <w:pPr>
        <w:spacing w:after="0"/>
        <w:ind w:firstLine="360"/>
        <w:jc w:val="both"/>
        <w:rPr>
          <w:lang w:val="ro-RO"/>
        </w:rPr>
      </w:pPr>
    </w:p>
    <w:p>
      <w:pPr>
        <w:spacing w:after="0"/>
        <w:ind w:firstLine="360"/>
        <w:jc w:val="both"/>
        <w:rPr>
          <w:lang w:val="ro-RO"/>
        </w:rPr>
      </w:pPr>
    </w:p>
    <w:p>
      <w:pPr>
        <w:spacing w:after="0"/>
        <w:ind w:firstLine="360"/>
        <w:jc w:val="both"/>
        <w:rPr>
          <w:b/>
          <w:lang w:val="ro-RO"/>
        </w:rPr>
      </w:pPr>
      <w:r>
        <w:rPr>
          <w:b/>
          <w:lang w:val="ro-RO"/>
        </w:rPr>
        <w:t>EVOLUȚII PE FIECARE PIAȚĂ</w:t>
      </w:r>
    </w:p>
    <w:p>
      <w:pPr>
        <w:spacing w:after="0"/>
        <w:ind w:firstLine="360"/>
        <w:jc w:val="both"/>
        <w:rPr>
          <w:b/>
          <w:lang w:val="ro-RO"/>
        </w:rPr>
      </w:pPr>
    </w:p>
    <w:p>
      <w:pPr>
        <w:spacing w:after="0"/>
        <w:ind w:firstLine="360"/>
        <w:jc w:val="both"/>
        <w:rPr>
          <w:lang w:val="ro-RO"/>
        </w:rPr>
      </w:pPr>
      <w:r>
        <w:rPr>
          <w:lang w:val="ro-RO"/>
        </w:rPr>
        <w:t xml:space="preserve">În </w:t>
      </w:r>
      <w:r>
        <w:rPr>
          <w:b/>
          <w:lang w:val="ro-RO"/>
        </w:rPr>
        <w:t>România</w:t>
      </w:r>
      <w:r>
        <w:rPr>
          <w:lang w:val="ro-RO"/>
        </w:rPr>
        <w:t>, grupul a raportat creșteri pe segmentul serviciilor de cablu și internet fix, cu un progres de 10,3 % al abonamentelor la serviciile de cablu tv (3,4 milioane RGU, la 31 martie 2019, față de 3,1 milioane RGU, la 31 martie 2018) și, respectiv, de 11,3 % la abonamentele pentru serviciile de internet fix (2,6 milioane RGU la 31 martie 2019 față de 2,3 milioane RGU, pentru perioada similară a anului anterior). În ceea ce privește serviciile de telefonie mobilă, Digi este lider la portări, cu circa 37,5% din piața portabilității, totalizând 84.419 numere portate în rețeaua Digi Mobil, în primele 3 luni ale anului. Raportat la aceeași perioadă a anului anterior, rețelele de telefonie fixă și mobilă ale Grupului au atras, prin serviciul de portare, cu 26,8 % mai multe numere fixe și mobile față de aceeași perioadă a anului anterior (89.713 numere portate, în primul trimestru al anului 2019, față de 70.717 numere, în aceeași perioadă a anului 2018).</w:t>
      </w:r>
      <w:r>
        <w:rPr>
          <w:rFonts w:ascii="Arial" w:hAnsi="Arial" w:cs="Arial"/>
          <w:lang w:val="ro-RO"/>
        </w:rPr>
        <w:t>⃰⃰</w:t>
      </w:r>
      <w:r>
        <w:rPr>
          <w:lang w:val="ro-RO"/>
        </w:rPr>
        <w:t xml:space="preserve"> </w:t>
      </w:r>
    </w:p>
    <w:p>
      <w:pPr>
        <w:spacing w:after="0"/>
        <w:ind w:firstLine="360"/>
        <w:jc w:val="both"/>
        <w:rPr>
          <w:lang w:val="ro-RO"/>
        </w:rPr>
      </w:pPr>
      <w:r>
        <w:rPr>
          <w:lang w:val="ro-RO"/>
        </w:rPr>
        <w:t xml:space="preserve">În </w:t>
      </w:r>
      <w:r>
        <w:rPr>
          <w:b/>
          <w:lang w:val="ro-RO"/>
        </w:rPr>
        <w:t>Ungaria</w:t>
      </w:r>
      <w:r>
        <w:rPr>
          <w:lang w:val="ro-RO"/>
        </w:rPr>
        <w:t>, veniturile filialei Digi Hungary (inclusiv Invitel)</w:t>
      </w:r>
      <w:r>
        <w:rPr>
          <w:rFonts w:ascii="Arial" w:hAnsi="Arial" w:cs="Arial"/>
          <w:lang w:val="ro-RO"/>
        </w:rPr>
        <w:t>⃰⃰⃰</w:t>
      </w:r>
      <w:r>
        <w:rPr>
          <w:lang w:val="ro-RO"/>
        </w:rPr>
        <w:t xml:space="preserve"> </w:t>
      </w:r>
      <w:r>
        <w:rPr>
          <w:rFonts w:ascii="Arial" w:hAnsi="Arial" w:cs="Arial"/>
          <w:lang w:val="ro-RO"/>
        </w:rPr>
        <w:t xml:space="preserve">⃰ </w:t>
      </w:r>
      <w:r>
        <w:rPr>
          <w:lang w:val="ro-RO"/>
        </w:rPr>
        <w:t>s-au majorat până la 55 milioane EUR, iar Digi și-a consolidat poziția de lider pe segmentul de servicii pay-tv. Pe segmentul serviciilor de internet fix, Digi este al doilea operator, în timp ce pe segmentul serviciilor de comunicații fixe (pay-tv, internet, telefonie fixă), Digi Ungaria înregistrează o creștere a RGU de 56% (la 2,1 milioane unități generatoare de venituri).</w:t>
      </w:r>
    </w:p>
    <w:p>
      <w:pPr>
        <w:spacing w:after="0"/>
        <w:ind w:firstLine="360"/>
        <w:jc w:val="both"/>
        <w:rPr>
          <w:lang w:val="ro-RO"/>
        </w:rPr>
      </w:pPr>
      <w:r>
        <w:rPr>
          <w:b/>
          <w:lang w:val="ro-RO"/>
        </w:rPr>
        <w:t>Spania și Italia</w:t>
      </w:r>
      <w:r>
        <w:rPr>
          <w:lang w:val="ro-RO"/>
        </w:rPr>
        <w:t xml:space="preserve"> au înregistrat o creștere importantă, de 42%, a numărului de abonați la serviciile de telefonie mobilă, ajungând de la 1,2 milioane RGU, la 31 martie 2018, la 1,7 milioane RGU, la 31 martie 2019. Digi Spania s-a poziționat ca lider al pieței MVNO (operator virtual de servicii de telefonie mobilă), după rata de creștere a numărului de abonați, și este cel de-al cincilea  operator de telefonie mobilă pe piața iberică, beneficiind, totodată, de o prezență tot mai extinsă în teritoriu. În primul trimestru al anului, aproximativ 89.000 de numere de telefonie mobilă s-au portat în rețeaua Digi Spania, istoric cel mai bun rezultat trimestrial al Digi Spania, fiind al doilea operator din piața de telefonie mobilă spaniolă în funcție de numărul net de clienți portați în rețea în această perioadă. Pe cele două piețe europene mature, serviciile Digi se adresează atât diasporei românești, cât și clienților locali. </w:t>
      </w:r>
    </w:p>
    <w:p>
      <w:pPr>
        <w:spacing w:after="0"/>
        <w:ind w:firstLine="360"/>
        <w:jc w:val="both"/>
        <w:rPr>
          <w:i/>
          <w:lang w:val="ro-RO"/>
        </w:rPr>
      </w:pPr>
      <w:r>
        <w:rPr>
          <w:i/>
          <w:lang w:val="ro-RO"/>
        </w:rPr>
        <w:t xml:space="preserve">”Anul 2019 este un an important atât pentru principalele două piețe ale grupului, cât și pentru operațiunile din Spania. În România, vom continua extinderea rețelei de telefonie mobilă și întărirea poziției pe piața serviciilor mobile. În Ungaria, lansăm în curând serviciile de telefonie mobilă, pe o piață matură și într-un context competitiv complex. Ținând cont de nevoile în creștere ale clienților noștri și de evoluția generală a sectorului comunicațiilor electronice, ne dorim să menținem ritmul de dezvoltare din ultimii ani. </w:t>
      </w:r>
    </w:p>
    <w:p>
      <w:pPr>
        <w:spacing w:after="0"/>
        <w:ind w:firstLine="360"/>
        <w:jc w:val="both"/>
        <w:rPr>
          <w:i/>
          <w:lang w:val="ro-RO"/>
        </w:rPr>
      </w:pPr>
      <w:r>
        <w:rPr>
          <w:i/>
          <w:lang w:val="ro-RO"/>
        </w:rPr>
        <w:t xml:space="preserve">În curând, se vor împlini doi ani de la listarea Digi Communications N.V. pe Bursa de Valori București. Le mulțumim acționarilor, investitorilor și angajaților pentru acest parcurs care a contribuit la consolidarea companiei ca important operator pe piața europeană. Suntem încrezători că am pus piatra de temelie a unei relații pe termen lung, în beneficiul tuturor părților implicate – acționari, investitori, clienți, angajați, parteneri, piață de capital”, </w:t>
      </w:r>
      <w:r>
        <w:rPr>
          <w:lang w:val="ro-RO"/>
        </w:rPr>
        <w:t>a declarat Serghei Bulgac, CEO al Grupului Digi Communications.</w:t>
      </w:r>
      <w:r>
        <w:rPr>
          <w:i/>
          <w:lang w:val="ro-RO"/>
        </w:rPr>
        <w:t xml:space="preserve"> </w:t>
      </w:r>
    </w:p>
    <w:p>
      <w:pPr>
        <w:jc w:val="both"/>
        <w:rPr>
          <w:b/>
          <w:lang w:val="ro-RO"/>
        </w:rPr>
      </w:pPr>
    </w:p>
    <w:p>
      <w:pPr>
        <w:jc w:val="both"/>
        <w:rPr>
          <w:b/>
          <w:lang w:val="ro-RO"/>
        </w:rPr>
      </w:pPr>
      <w:r>
        <w:rPr>
          <w:b/>
          <w:lang w:val="ro-RO"/>
        </w:rPr>
        <w:t xml:space="preserve">Despre Grupul Digi Communications </w:t>
      </w:r>
    </w:p>
    <w:p>
      <w:pPr>
        <w:spacing w:after="0"/>
        <w:ind w:firstLine="720"/>
        <w:jc w:val="both"/>
        <w:rPr>
          <w:i/>
          <w:lang w:val="ro-RO"/>
        </w:rPr>
      </w:pPr>
      <w:r>
        <w:rPr>
          <w:i/>
          <w:lang w:val="ro-RO"/>
        </w:rPr>
        <w:t xml:space="preserve">Digi Communications NV este compania mamă a operatorului de comunicații electronice, RCS &amp; RDS, liderul pieței de internet, pay-tv și servicii convergente, în România, cu operațiuni și în Ungaria, Spania și Italia. Înființată în urmă cu peste 25 de ani, compania deține aproape în integralitate cea mai modernă (state of the art) și mai extinsă rețea de fibră optică din regiune, cu circa 7,8 milioane homes passed. </w:t>
      </w:r>
    </w:p>
    <w:p>
      <w:pPr>
        <w:spacing w:after="0"/>
        <w:ind w:firstLine="720"/>
        <w:jc w:val="both"/>
        <w:rPr>
          <w:i/>
          <w:lang w:val="ro-RO"/>
        </w:rPr>
      </w:pPr>
      <w:r>
        <w:rPr>
          <w:i/>
          <w:lang w:val="ro-RO"/>
        </w:rPr>
        <w:t>Digi aduce pe piață cele mai accesibile servicii</w:t>
      </w:r>
      <w:r>
        <w:rPr>
          <w:b/>
          <w:i/>
          <w:lang w:val="ro-RO"/>
        </w:rPr>
        <w:t xml:space="preserve"> </w:t>
      </w:r>
      <w:r>
        <w:rPr>
          <w:i/>
          <w:lang w:val="ro-RO"/>
        </w:rPr>
        <w:t xml:space="preserve">de comunicații electronice, atât în domeniul comunicațiilor fixe, cât și al celor mobile. </w:t>
      </w:r>
      <w:r>
        <w:rPr>
          <w:i/>
          <w:lang w:val="zh-CN"/>
        </w:rPr>
        <w:t xml:space="preserve">Acest avantaj competitiv s-a transformat, în timp, într-un beneficiu pentru milioane de clienți, care au dobândit, astfel, un acces mai rapid și mai puțin costisitor la servicii de cea mai bună calitate. </w:t>
      </w:r>
    </w:p>
    <w:p>
      <w:pPr>
        <w:spacing w:after="0"/>
        <w:ind w:firstLine="720"/>
        <w:jc w:val="both"/>
        <w:rPr>
          <w:i/>
          <w:lang w:val="ro-RO"/>
        </w:rPr>
      </w:pPr>
      <w:r>
        <w:rPr>
          <w:i/>
          <w:lang w:val="ro-RO"/>
        </w:rPr>
        <w:t xml:space="preserve">În România, Grupul Digi este, în prezent, cel mai mare angajator privat din mediul antreprenorial local, cu circa 13.000 de angajați (peste 15.000 pe toate piețele unde desfășoară operațiuni). În egală măsură, amploarea operațiunilor derulate în România îl poziționează ca unul dintre cei mai mari contribuabili la bugetul de stat și al asigurărilor sociale și de sănătate, cu peste 1 miliard EUR virați, în ultima decadă, sub formă de impozite, taxe și alte plăți către instituțiile statului. </w:t>
      </w:r>
    </w:p>
    <w:p>
      <w:pPr>
        <w:spacing w:after="0"/>
        <w:ind w:firstLine="720"/>
        <w:jc w:val="both"/>
        <w:rPr>
          <w:b/>
          <w:bCs/>
          <w:i/>
          <w:iCs/>
          <w:lang w:val="ro-RO"/>
        </w:rPr>
      </w:pPr>
      <w:r>
        <w:rPr>
          <w:i/>
          <w:iCs/>
          <w:color w:val="000000"/>
          <w:lang w:val="ro-RO"/>
        </w:rPr>
        <w:t xml:space="preserve">În oferta de conținuturi trans-media a grupului Digi figurează televiziunile Digi24, DigiSport 1, 2, 3, 4, FilmNow, Digi World, Digi Animal World, Digi Life, UTV, Music Channel și Hit Music Channel, posturile Digi FM, ProFM, Dance FM, Chill FM </w:t>
      </w:r>
      <w:r>
        <w:rPr>
          <w:rFonts w:ascii="Calibri" w:hAnsi="Calibri" w:cs="Calibri"/>
          <w:i/>
          <w:iCs/>
          <w:color w:val="000000"/>
          <w:lang w:val="ro-RO"/>
        </w:rPr>
        <w:t>ș</w:t>
      </w:r>
      <w:r>
        <w:rPr>
          <w:i/>
          <w:iCs/>
          <w:color w:val="000000"/>
          <w:lang w:val="ro-RO"/>
        </w:rPr>
        <w:t xml:space="preserve">i platformele de comunicare online reunite sub DigiOnline. </w:t>
      </w:r>
    </w:p>
    <w:p>
      <w:pPr>
        <w:spacing w:after="0"/>
        <w:jc w:val="both"/>
        <w:rPr>
          <w:i/>
          <w:lang w:val="ro-RO"/>
        </w:rPr>
      </w:pPr>
      <w:r>
        <w:rPr>
          <w:i/>
          <w:lang w:val="ro-RO"/>
        </w:rPr>
        <w:t xml:space="preserve">Mai multe informații </w:t>
      </w:r>
      <w:r>
        <w:fldChar w:fldCharType="begin"/>
      </w:r>
      <w:r>
        <w:instrText xml:space="preserve"> HYPERLINK "https://www.digi-communications.ro/ro/see-file/Digi-Raport-Financiar-Q3-2018_RO.pdf" </w:instrText>
      </w:r>
      <w:r>
        <w:fldChar w:fldCharType="separate"/>
      </w:r>
      <w:r>
        <w:rPr>
          <w:rStyle w:val="10"/>
          <w:b/>
          <w:i/>
          <w:lang w:val="ro-RO"/>
        </w:rPr>
        <w:t>aici.</w:t>
      </w:r>
      <w:r>
        <w:rPr>
          <w:rStyle w:val="10"/>
          <w:b/>
          <w:i/>
          <w:lang w:val="ro-RO"/>
        </w:rPr>
        <w:fldChar w:fldCharType="end"/>
      </w:r>
    </w:p>
    <w:p>
      <w:pPr>
        <w:jc w:val="both"/>
        <w:rPr>
          <w:i/>
          <w:sz w:val="18"/>
          <w:szCs w:val="18"/>
          <w:lang w:val="ro-RO"/>
        </w:rPr>
      </w:pPr>
    </w:p>
    <w:p>
      <w:pPr>
        <w:jc w:val="both"/>
        <w:rPr>
          <w:i/>
          <w:sz w:val="18"/>
          <w:szCs w:val="18"/>
          <w:lang w:val="ro-RO"/>
        </w:rPr>
      </w:pPr>
    </w:p>
    <w:p>
      <w:pPr>
        <w:jc w:val="both"/>
        <w:rPr>
          <w:i/>
          <w:sz w:val="18"/>
          <w:szCs w:val="18"/>
          <w:lang w:val="ro-RO"/>
        </w:rPr>
      </w:pPr>
    </w:p>
    <w:p>
      <w:pPr>
        <w:jc w:val="both"/>
        <w:rPr>
          <w:i/>
          <w:sz w:val="18"/>
          <w:szCs w:val="18"/>
          <w:lang w:val="ro-RO"/>
        </w:rPr>
      </w:pPr>
    </w:p>
    <w:p>
      <w:pPr>
        <w:jc w:val="both"/>
        <w:rPr>
          <w:i/>
          <w:sz w:val="18"/>
          <w:szCs w:val="18"/>
          <w:lang w:val="ro-RO"/>
        </w:rPr>
      </w:pPr>
    </w:p>
    <w:p>
      <w:pPr>
        <w:jc w:val="both"/>
        <w:rPr>
          <w:i/>
          <w:sz w:val="18"/>
          <w:szCs w:val="18"/>
          <w:lang w:val="ro-RO"/>
        </w:rPr>
      </w:pPr>
    </w:p>
    <w:p>
      <w:pPr>
        <w:jc w:val="both"/>
        <w:rPr>
          <w:i/>
          <w:sz w:val="18"/>
          <w:szCs w:val="18"/>
          <w:lang w:val="ro-RO"/>
        </w:rPr>
      </w:pPr>
    </w:p>
    <w:p>
      <w:pPr>
        <w:jc w:val="both"/>
        <w:rPr>
          <w:i/>
          <w:sz w:val="18"/>
          <w:szCs w:val="18"/>
          <w:lang w:val="ro-RO"/>
        </w:rPr>
      </w:pPr>
    </w:p>
    <w:p>
      <w:pPr>
        <w:jc w:val="both"/>
        <w:rPr>
          <w:i/>
          <w:sz w:val="18"/>
          <w:szCs w:val="18"/>
          <w:lang w:val="ro-RO"/>
        </w:rPr>
      </w:pPr>
    </w:p>
    <w:p>
      <w:pPr>
        <w:jc w:val="both"/>
        <w:rPr>
          <w:i/>
          <w:sz w:val="18"/>
          <w:szCs w:val="18"/>
          <w:lang w:val="ro-RO"/>
        </w:rPr>
      </w:pPr>
    </w:p>
    <w:p>
      <w:pPr>
        <w:jc w:val="both"/>
        <w:rPr>
          <w:i/>
          <w:sz w:val="18"/>
          <w:szCs w:val="18"/>
          <w:lang w:val="ro-RO"/>
        </w:rPr>
      </w:pPr>
    </w:p>
    <w:p>
      <w:pPr>
        <w:jc w:val="both"/>
        <w:rPr>
          <w:i/>
          <w:sz w:val="18"/>
          <w:szCs w:val="18"/>
          <w:lang w:val="ro-RO"/>
        </w:rPr>
      </w:pPr>
    </w:p>
    <w:p>
      <w:pPr>
        <w:jc w:val="both"/>
        <w:rPr>
          <w:i/>
          <w:sz w:val="18"/>
          <w:szCs w:val="18"/>
          <w:lang w:val="ro-RO"/>
        </w:rPr>
      </w:pPr>
    </w:p>
    <w:p>
      <w:pPr>
        <w:jc w:val="both"/>
        <w:rPr>
          <w:i/>
          <w:sz w:val="18"/>
          <w:szCs w:val="18"/>
          <w:lang w:val="ro-RO"/>
        </w:rPr>
      </w:pPr>
    </w:p>
    <w:p>
      <w:pPr>
        <w:jc w:val="both"/>
        <w:rPr>
          <w:i/>
          <w:sz w:val="18"/>
          <w:szCs w:val="18"/>
          <w:lang w:val="ro-RO"/>
        </w:rPr>
      </w:pPr>
    </w:p>
    <w:p>
      <w:pPr>
        <w:jc w:val="both"/>
        <w:rPr>
          <w:i/>
          <w:sz w:val="18"/>
          <w:szCs w:val="18"/>
          <w:lang w:val="ro-RO"/>
        </w:rPr>
      </w:pPr>
      <w:bookmarkStart w:id="0" w:name="_GoBack"/>
      <w:bookmarkEnd w:id="0"/>
    </w:p>
    <w:p>
      <w:pPr>
        <w:jc w:val="both"/>
        <w:rPr>
          <w:i/>
          <w:sz w:val="18"/>
          <w:szCs w:val="18"/>
          <w:lang w:val="ro-RO"/>
        </w:rPr>
      </w:pPr>
    </w:p>
    <w:p>
      <w:pPr>
        <w:jc w:val="both"/>
        <w:rPr>
          <w:rFonts w:cstheme="minorHAnsi"/>
          <w:i/>
          <w:sz w:val="18"/>
          <w:szCs w:val="18"/>
          <w:lang w:val="ro-RO"/>
        </w:rPr>
      </w:pPr>
    </w:p>
    <w:p>
      <w:pPr>
        <w:jc w:val="both"/>
        <w:rPr>
          <w:rFonts w:cstheme="minorHAnsi"/>
          <w:i/>
          <w:sz w:val="18"/>
          <w:szCs w:val="18"/>
          <w:lang w:val="ro-RO"/>
        </w:rPr>
      </w:pPr>
    </w:p>
    <w:p>
      <w:pPr>
        <w:jc w:val="both"/>
        <w:rPr>
          <w:rFonts w:cstheme="minorHAnsi"/>
          <w:i/>
          <w:sz w:val="18"/>
          <w:szCs w:val="18"/>
          <w:lang w:val="ro-RO"/>
        </w:rPr>
      </w:pPr>
    </w:p>
    <w:p>
      <w:pPr>
        <w:jc w:val="both"/>
        <w:rPr>
          <w:rFonts w:cstheme="minorHAnsi"/>
          <w:i/>
          <w:sz w:val="18"/>
          <w:szCs w:val="18"/>
          <w:lang w:val="ro-RO"/>
        </w:rPr>
      </w:pPr>
    </w:p>
    <w:p>
      <w:pPr>
        <w:jc w:val="both"/>
        <w:rPr>
          <w:rFonts w:cstheme="minorHAnsi"/>
          <w:i/>
          <w:sz w:val="18"/>
          <w:szCs w:val="18"/>
          <w:lang w:val="ro-RO"/>
        </w:rPr>
      </w:pPr>
      <w:r>
        <w:rPr>
          <w:rFonts w:ascii="Arial" w:hAnsi="Arial" w:cs="Arial"/>
          <w:i/>
          <w:sz w:val="18"/>
          <w:szCs w:val="18"/>
          <w:lang w:val="ro-RO"/>
        </w:rPr>
        <w:t>⃰</w:t>
      </w:r>
      <w:r>
        <w:rPr>
          <w:rFonts w:cstheme="minorHAnsi"/>
          <w:i/>
          <w:sz w:val="18"/>
          <w:szCs w:val="18"/>
          <w:lang w:val="ro-RO"/>
        </w:rPr>
        <w:t xml:space="preserve"> </w:t>
      </w:r>
      <w:r>
        <w:rPr>
          <w:rFonts w:ascii="Arial" w:hAnsi="Arial" w:cs="Arial"/>
          <w:i/>
          <w:sz w:val="18"/>
          <w:szCs w:val="18"/>
          <w:lang w:val="ro-RO"/>
        </w:rPr>
        <w:t xml:space="preserve">Potrivit datelor furnizate de serviciul ANCOM, portabilitate.ro. </w:t>
      </w:r>
    </w:p>
    <w:p>
      <w:pPr>
        <w:jc w:val="both"/>
        <w:rPr>
          <w:rFonts w:cstheme="minorHAnsi"/>
          <w:i/>
          <w:sz w:val="20"/>
          <w:szCs w:val="18"/>
          <w:lang w:val="ro-RO"/>
        </w:rPr>
      </w:pPr>
      <w:r>
        <w:rPr>
          <w:rFonts w:ascii="Arial" w:hAnsi="Arial" w:cs="Arial"/>
          <w:i/>
          <w:sz w:val="20"/>
          <w:szCs w:val="18"/>
          <w:lang w:val="ro-RO"/>
        </w:rPr>
        <w:t>⃰⃰⃰</w:t>
      </w:r>
      <w:r>
        <w:rPr>
          <w:rFonts w:cstheme="minorHAnsi"/>
          <w:i/>
          <w:sz w:val="20"/>
          <w:szCs w:val="18"/>
          <w:lang w:val="ro-RO"/>
        </w:rPr>
        <w:t xml:space="preserve">  </w:t>
      </w:r>
      <w:r>
        <w:rPr>
          <w:rFonts w:ascii="Arial" w:hAnsi="Arial" w:cs="Arial"/>
          <w:i/>
          <w:sz w:val="20"/>
          <w:szCs w:val="18"/>
          <w:lang w:val="ro-RO"/>
        </w:rPr>
        <w:t xml:space="preserve">⃰ </w:t>
      </w:r>
      <w:r>
        <w:rPr>
          <w:rFonts w:cstheme="minorHAnsi"/>
          <w:i/>
          <w:sz w:val="20"/>
          <w:szCs w:val="18"/>
          <w:lang w:val="ro-RO"/>
        </w:rPr>
        <w:t>Inclusiv investiția în Invitel, companie din Ungaria, unde Grupul deține pachetul majoritar de acțiuni, de la 30 mai 2018.</w:t>
      </w:r>
    </w:p>
    <w:p>
      <w:pPr>
        <w:jc w:val="both"/>
        <w:rPr>
          <w:rFonts w:cstheme="minorHAnsi"/>
          <w:i/>
          <w:sz w:val="18"/>
          <w:szCs w:val="18"/>
          <w:lang w:val="ro-RO"/>
        </w:rPr>
      </w:pPr>
    </w:p>
    <w:sectPr>
      <w:headerReference r:id="rId4" w:type="first"/>
      <w:headerReference r:id="rId3" w:type="default"/>
      <w:footerReference r:id="rId5"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83"/>
      <w:rPr>
        <w:rFonts w:ascii="Arial" w:hAnsi="Arial" w:cs="Arial"/>
        <w:color w:val="595959"/>
        <w:sz w:val="12"/>
      </w:rPr>
    </w:pPr>
    <w:r>
      <w:rPr>
        <w:rFonts w:ascii="Arial" w:hAnsi="Arial" w:cs="Arial"/>
        <w:b/>
        <w:color w:val="595959"/>
        <w:sz w:val="12"/>
      </w:rPr>
      <w:t>Digi Communications N.V.</w:t>
    </w:r>
  </w:p>
  <w:p>
    <w:pPr>
      <w:pStyle w:val="5"/>
    </w:pPr>
    <w:r>
      <w:rPr>
        <w:rFonts w:ascii="Arial" w:hAnsi="Arial" w:cs="Arial"/>
        <w:color w:val="595959"/>
        <w:sz w:val="12"/>
      </w:rPr>
      <w:t>Str. Dr. Staicovici nr. 75, Forum 2000 Building, Faza I, Et. 2, Sector 5, București</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5945" w:type="dxa"/>
      <w:tblInd w:w="4511" w:type="dxa"/>
      <w:tblLayout w:type="fixed"/>
      <w:tblCellMar>
        <w:top w:w="0" w:type="dxa"/>
        <w:left w:w="108" w:type="dxa"/>
        <w:bottom w:w="0" w:type="dxa"/>
        <w:right w:w="108" w:type="dxa"/>
      </w:tblCellMar>
    </w:tblPr>
    <w:tblGrid>
      <w:gridCol w:w="1551"/>
      <w:gridCol w:w="1559"/>
      <w:gridCol w:w="2835"/>
    </w:tblGrid>
    <w:tr>
      <w:tblPrEx>
        <w:tblLayout w:type="fixed"/>
        <w:tblCellMar>
          <w:top w:w="0" w:type="dxa"/>
          <w:left w:w="108" w:type="dxa"/>
          <w:bottom w:w="0" w:type="dxa"/>
          <w:right w:w="108" w:type="dxa"/>
        </w:tblCellMar>
      </w:tblPrEx>
      <w:tc>
        <w:tcPr>
          <w:tcW w:w="1551" w:type="dxa"/>
          <w:vMerge w:val="restart"/>
          <w:shd w:val="clear" w:color="auto" w:fill="auto"/>
        </w:tcPr>
        <w:p>
          <w:pPr>
            <w:suppressAutoHyphens/>
            <w:snapToGrid w:val="0"/>
            <w:spacing w:after="0" w:line="240" w:lineRule="auto"/>
            <w:rPr>
              <w:rFonts w:ascii="Arial" w:hAnsi="Arial" w:eastAsia="Calibri" w:cs="Arial"/>
              <w:b/>
              <w:sz w:val="12"/>
              <w:szCs w:val="12"/>
              <w:lang w:eastAsia="ar-SA"/>
            </w:rPr>
          </w:pPr>
        </w:p>
      </w:tc>
      <w:tc>
        <w:tcPr>
          <w:tcW w:w="1559" w:type="dxa"/>
          <w:shd w:val="clear" w:color="auto" w:fill="auto"/>
        </w:tcPr>
        <w:p>
          <w:pPr>
            <w:suppressAutoHyphens/>
            <w:spacing w:after="0" w:line="240" w:lineRule="auto"/>
            <w:rPr>
              <w:rFonts w:ascii="Arial" w:hAnsi="Arial" w:eastAsia="Calibri" w:cs="Arial"/>
              <w:b/>
              <w:sz w:val="12"/>
              <w:szCs w:val="12"/>
              <w:lang w:eastAsia="ar-SA"/>
            </w:rPr>
          </w:pPr>
        </w:p>
      </w:tc>
      <w:tc>
        <w:tcPr>
          <w:tcW w:w="2835" w:type="dxa"/>
          <w:shd w:val="clear" w:color="auto" w:fill="auto"/>
        </w:tcPr>
        <w:p>
          <w:pPr>
            <w:suppressAutoHyphens/>
            <w:spacing w:after="0" w:line="240" w:lineRule="auto"/>
            <w:rPr>
              <w:rFonts w:ascii="Calibri" w:hAnsi="Calibri" w:eastAsia="Calibri" w:cs="Times New Roman"/>
              <w:lang w:eastAsia="ar-SA"/>
            </w:rPr>
          </w:pPr>
        </w:p>
      </w:tc>
    </w:tr>
    <w:tr>
      <w:tblPrEx>
        <w:tblLayout w:type="fixed"/>
        <w:tblCellMar>
          <w:top w:w="0" w:type="dxa"/>
          <w:left w:w="108" w:type="dxa"/>
          <w:bottom w:w="0" w:type="dxa"/>
          <w:right w:w="108" w:type="dxa"/>
        </w:tblCellMar>
      </w:tblPrEx>
      <w:tc>
        <w:tcPr>
          <w:tcW w:w="1551" w:type="dxa"/>
          <w:vMerge w:val="continue"/>
          <w:shd w:val="clear" w:color="auto" w:fill="auto"/>
        </w:tcPr>
        <w:p>
          <w:pPr>
            <w:suppressAutoHyphens/>
            <w:snapToGrid w:val="0"/>
            <w:spacing w:after="0" w:line="240" w:lineRule="auto"/>
            <w:rPr>
              <w:rFonts w:ascii="Arial" w:hAnsi="Arial" w:eastAsia="Calibri" w:cs="Arial"/>
              <w:b/>
              <w:sz w:val="12"/>
              <w:szCs w:val="12"/>
              <w:lang w:eastAsia="ar-SA"/>
            </w:rPr>
          </w:pPr>
        </w:p>
      </w:tc>
      <w:tc>
        <w:tcPr>
          <w:tcW w:w="1559" w:type="dxa"/>
          <w:shd w:val="clear" w:color="auto" w:fill="auto"/>
        </w:tcPr>
        <w:p>
          <w:pPr>
            <w:suppressAutoHyphens/>
            <w:snapToGrid w:val="0"/>
            <w:spacing w:after="0" w:line="240" w:lineRule="auto"/>
            <w:rPr>
              <w:rFonts w:ascii="Arial" w:hAnsi="Arial" w:eastAsia="Calibri" w:cs="Arial"/>
              <w:b/>
              <w:sz w:val="12"/>
              <w:szCs w:val="12"/>
              <w:lang w:eastAsia="ar-SA"/>
            </w:rPr>
          </w:pPr>
        </w:p>
      </w:tc>
      <w:tc>
        <w:tcPr>
          <w:tcW w:w="2835" w:type="dxa"/>
          <w:shd w:val="clear" w:color="auto" w:fill="auto"/>
        </w:tcPr>
        <w:p>
          <w:pPr>
            <w:suppressAutoHyphens/>
            <w:spacing w:after="0" w:line="240" w:lineRule="auto"/>
            <w:rPr>
              <w:rFonts w:ascii="Calibri" w:hAnsi="Calibri" w:eastAsia="Calibri" w:cs="Times New Roman"/>
              <w:lang w:eastAsia="ar-SA"/>
            </w:rPr>
          </w:pPr>
        </w:p>
      </w:tc>
    </w:tr>
  </w:tbl>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4835" w:type="dxa"/>
      <w:tblInd w:w="5640" w:type="dxa"/>
      <w:tblLayout w:type="fixed"/>
      <w:tblCellMar>
        <w:top w:w="0" w:type="dxa"/>
        <w:left w:w="108" w:type="dxa"/>
        <w:bottom w:w="0" w:type="dxa"/>
        <w:right w:w="108" w:type="dxa"/>
      </w:tblCellMar>
    </w:tblPr>
    <w:tblGrid>
      <w:gridCol w:w="1715"/>
      <w:gridCol w:w="3120"/>
    </w:tblGrid>
    <w:tr>
      <w:tblPrEx>
        <w:tblLayout w:type="fixed"/>
        <w:tblCellMar>
          <w:top w:w="0" w:type="dxa"/>
          <w:left w:w="108" w:type="dxa"/>
          <w:bottom w:w="0" w:type="dxa"/>
          <w:right w:w="108" w:type="dxa"/>
        </w:tblCellMar>
      </w:tblPrEx>
      <w:trPr>
        <w:trHeight w:val="279" w:hRule="atLeast"/>
      </w:trPr>
      <w:tc>
        <w:tcPr>
          <w:tcW w:w="1715" w:type="dxa"/>
          <w:shd w:val="clear" w:color="auto" w:fill="auto"/>
        </w:tcPr>
        <w:p>
          <w:pPr>
            <w:suppressAutoHyphens/>
            <w:spacing w:after="0" w:line="240" w:lineRule="auto"/>
            <w:rPr>
              <w:rFonts w:ascii="Arial" w:hAnsi="Arial" w:eastAsia="Calibri" w:cs="Arial"/>
              <w:b/>
              <w:sz w:val="12"/>
              <w:szCs w:val="12"/>
              <w:lang w:eastAsia="ar-SA"/>
            </w:rPr>
          </w:pPr>
          <w:r>
            <w:rPr>
              <w:rFonts w:ascii="Arial" w:hAnsi="Arial" w:eastAsia="Calibri" w:cs="Arial"/>
              <w:b/>
              <w:sz w:val="12"/>
              <w:szCs w:val="12"/>
              <w:lang w:eastAsia="ar-SA"/>
            </w:rPr>
            <w:t>Fax: +40 (31) 400 6505</w:t>
          </w:r>
        </w:p>
      </w:tc>
      <w:tc>
        <w:tcPr>
          <w:tcW w:w="3120" w:type="dxa"/>
          <w:shd w:val="clear" w:color="auto" w:fill="auto"/>
        </w:tcPr>
        <w:p>
          <w:pPr>
            <w:suppressAutoHyphens/>
            <w:spacing w:after="0" w:line="240" w:lineRule="auto"/>
            <w:rPr>
              <w:rFonts w:ascii="Calibri" w:hAnsi="Calibri" w:eastAsia="Calibri" w:cs="Times New Roman"/>
              <w:lang w:eastAsia="ar-SA"/>
            </w:rPr>
          </w:pPr>
          <w:r>
            <w:rPr>
              <w:rFonts w:ascii="Arial" w:hAnsi="Arial" w:eastAsia="Calibri" w:cs="Arial"/>
              <w:b/>
              <w:sz w:val="12"/>
              <w:szCs w:val="12"/>
              <w:lang w:eastAsia="ar-SA"/>
            </w:rPr>
            <w:t>Email: ipo.relations@digi-communications.ro</w:t>
          </w:r>
        </w:p>
      </w:tc>
    </w:tr>
    <w:tr>
      <w:tblPrEx>
        <w:tblLayout w:type="fixed"/>
        <w:tblCellMar>
          <w:top w:w="0" w:type="dxa"/>
          <w:left w:w="108" w:type="dxa"/>
          <w:bottom w:w="0" w:type="dxa"/>
          <w:right w:w="108" w:type="dxa"/>
        </w:tblCellMar>
      </w:tblPrEx>
      <w:trPr>
        <w:trHeight w:val="295" w:hRule="atLeast"/>
      </w:trPr>
      <w:tc>
        <w:tcPr>
          <w:tcW w:w="1715" w:type="dxa"/>
          <w:shd w:val="clear" w:color="auto" w:fill="auto"/>
        </w:tcPr>
        <w:p>
          <w:pPr>
            <w:suppressAutoHyphens/>
            <w:snapToGrid w:val="0"/>
            <w:spacing w:after="0" w:line="240" w:lineRule="auto"/>
            <w:rPr>
              <w:rFonts w:ascii="Arial" w:hAnsi="Arial" w:eastAsia="Calibri" w:cs="Arial"/>
              <w:b/>
              <w:sz w:val="12"/>
              <w:szCs w:val="12"/>
              <w:lang w:eastAsia="ar-SA"/>
            </w:rPr>
          </w:pPr>
        </w:p>
      </w:tc>
      <w:tc>
        <w:tcPr>
          <w:tcW w:w="3120" w:type="dxa"/>
          <w:shd w:val="clear" w:color="auto" w:fill="auto"/>
        </w:tcPr>
        <w:p>
          <w:pPr>
            <w:suppressAutoHyphens/>
            <w:spacing w:after="0" w:line="240" w:lineRule="auto"/>
            <w:rPr>
              <w:rFonts w:ascii="Calibri" w:hAnsi="Calibri" w:eastAsia="Calibri" w:cs="Times New Roman"/>
              <w:lang w:eastAsia="ar-SA"/>
            </w:rPr>
          </w:pPr>
          <w:r>
            <w:rPr>
              <w:rFonts w:ascii="Arial" w:hAnsi="Arial" w:eastAsia="Calibri" w:cs="Arial"/>
              <w:b/>
              <w:sz w:val="12"/>
              <w:szCs w:val="12"/>
              <w:lang w:eastAsia="ar-SA"/>
            </w:rPr>
            <w:t>Web: www.digi-communications.ro</w:t>
          </w:r>
        </w:p>
      </w:tc>
    </w:tr>
  </w:tbl>
  <w:p>
    <w:pPr>
      <w:pStyle w:val="6"/>
    </w:pPr>
    <w:r>
      <w:drawing>
        <wp:anchor distT="0" distB="0" distL="114935" distR="114935" simplePos="0" relativeHeight="251658240" behindDoc="1" locked="0" layoutInCell="1" allowOverlap="1">
          <wp:simplePos x="0" y="0"/>
          <wp:positionH relativeFrom="column">
            <wp:posOffset>-533400</wp:posOffset>
          </wp:positionH>
          <wp:positionV relativeFrom="paragraph">
            <wp:posOffset>-426085</wp:posOffset>
          </wp:positionV>
          <wp:extent cx="1035050" cy="3587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rcRect l="5800" t="11932" r="7170" b="17532"/>
                  <a:stretch>
                    <a:fillRect/>
                  </a:stretch>
                </pic:blipFill>
                <pic:spPr>
                  <a:xfrm>
                    <a:off x="0" y="0"/>
                    <a:ext cx="1035050" cy="358775"/>
                  </a:xfrm>
                  <a:prstGeom prst="rect">
                    <a:avLst/>
                  </a:prstGeom>
                  <a:solidFill>
                    <a:srgbClr val="FFFFFF"/>
                  </a:solid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85997"/>
    <w:multiLevelType w:val="multilevel"/>
    <w:tmpl w:val="1C7859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CD435FE"/>
    <w:multiLevelType w:val="multilevel"/>
    <w:tmpl w:val="4CD435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1F4"/>
    <w:rsid w:val="00004887"/>
    <w:rsid w:val="00032FBD"/>
    <w:rsid w:val="00036BC0"/>
    <w:rsid w:val="00040779"/>
    <w:rsid w:val="000438E0"/>
    <w:rsid w:val="00050E62"/>
    <w:rsid w:val="00060C2D"/>
    <w:rsid w:val="00073B59"/>
    <w:rsid w:val="00077D37"/>
    <w:rsid w:val="000A1B0E"/>
    <w:rsid w:val="000B41EA"/>
    <w:rsid w:val="000B475D"/>
    <w:rsid w:val="000B5B93"/>
    <w:rsid w:val="000C18F0"/>
    <w:rsid w:val="000C57A1"/>
    <w:rsid w:val="000F31E6"/>
    <w:rsid w:val="000F4E45"/>
    <w:rsid w:val="00107E6F"/>
    <w:rsid w:val="001227B9"/>
    <w:rsid w:val="00122C78"/>
    <w:rsid w:val="00142C8A"/>
    <w:rsid w:val="00147E01"/>
    <w:rsid w:val="001637FF"/>
    <w:rsid w:val="00165423"/>
    <w:rsid w:val="00166028"/>
    <w:rsid w:val="0018305B"/>
    <w:rsid w:val="001A606B"/>
    <w:rsid w:val="001C42C8"/>
    <w:rsid w:val="001C629F"/>
    <w:rsid w:val="002010E7"/>
    <w:rsid w:val="002172CB"/>
    <w:rsid w:val="002205CE"/>
    <w:rsid w:val="002224BD"/>
    <w:rsid w:val="00244C25"/>
    <w:rsid w:val="002556C1"/>
    <w:rsid w:val="002770CE"/>
    <w:rsid w:val="002A1C0B"/>
    <w:rsid w:val="002A728B"/>
    <w:rsid w:val="002B14DF"/>
    <w:rsid w:val="002C0E76"/>
    <w:rsid w:val="002D6D3F"/>
    <w:rsid w:val="003041E5"/>
    <w:rsid w:val="00334476"/>
    <w:rsid w:val="003428D5"/>
    <w:rsid w:val="0035353B"/>
    <w:rsid w:val="0035443A"/>
    <w:rsid w:val="0037258B"/>
    <w:rsid w:val="00394CB0"/>
    <w:rsid w:val="003A3EB8"/>
    <w:rsid w:val="003B4397"/>
    <w:rsid w:val="003D1645"/>
    <w:rsid w:val="003E23BE"/>
    <w:rsid w:val="003F70FD"/>
    <w:rsid w:val="004033B0"/>
    <w:rsid w:val="00421F54"/>
    <w:rsid w:val="00447D3E"/>
    <w:rsid w:val="0045693B"/>
    <w:rsid w:val="004826E1"/>
    <w:rsid w:val="00483B9D"/>
    <w:rsid w:val="004A112C"/>
    <w:rsid w:val="004A37D5"/>
    <w:rsid w:val="004A6C8A"/>
    <w:rsid w:val="004B5E3E"/>
    <w:rsid w:val="004D7BC1"/>
    <w:rsid w:val="004E518E"/>
    <w:rsid w:val="00543FDF"/>
    <w:rsid w:val="00574CDF"/>
    <w:rsid w:val="00583F8C"/>
    <w:rsid w:val="00586730"/>
    <w:rsid w:val="0059511B"/>
    <w:rsid w:val="005A3086"/>
    <w:rsid w:val="005D3E3F"/>
    <w:rsid w:val="005F6D49"/>
    <w:rsid w:val="005F72F9"/>
    <w:rsid w:val="0061466E"/>
    <w:rsid w:val="00617B65"/>
    <w:rsid w:val="006261F4"/>
    <w:rsid w:val="006347F3"/>
    <w:rsid w:val="00673FAB"/>
    <w:rsid w:val="00684679"/>
    <w:rsid w:val="0068717B"/>
    <w:rsid w:val="006A1C4D"/>
    <w:rsid w:val="006B3E15"/>
    <w:rsid w:val="006B5937"/>
    <w:rsid w:val="006E07AB"/>
    <w:rsid w:val="00716B82"/>
    <w:rsid w:val="00720953"/>
    <w:rsid w:val="0072554B"/>
    <w:rsid w:val="007310C2"/>
    <w:rsid w:val="0073196C"/>
    <w:rsid w:val="00753A3B"/>
    <w:rsid w:val="00775C21"/>
    <w:rsid w:val="00785813"/>
    <w:rsid w:val="00791A92"/>
    <w:rsid w:val="00794FC8"/>
    <w:rsid w:val="007A14C0"/>
    <w:rsid w:val="007E6E50"/>
    <w:rsid w:val="00804A9A"/>
    <w:rsid w:val="00806D12"/>
    <w:rsid w:val="00817C4A"/>
    <w:rsid w:val="008240CE"/>
    <w:rsid w:val="00886B4F"/>
    <w:rsid w:val="008F1BBB"/>
    <w:rsid w:val="009200AE"/>
    <w:rsid w:val="009223C0"/>
    <w:rsid w:val="00957B1C"/>
    <w:rsid w:val="009D07B0"/>
    <w:rsid w:val="00A37BD0"/>
    <w:rsid w:val="00A704BF"/>
    <w:rsid w:val="00A93532"/>
    <w:rsid w:val="00AB2131"/>
    <w:rsid w:val="00AB69E9"/>
    <w:rsid w:val="00AC7F9D"/>
    <w:rsid w:val="00AD0170"/>
    <w:rsid w:val="00AE2DDC"/>
    <w:rsid w:val="00AE6885"/>
    <w:rsid w:val="00AF465E"/>
    <w:rsid w:val="00B15E75"/>
    <w:rsid w:val="00B50236"/>
    <w:rsid w:val="00B505E6"/>
    <w:rsid w:val="00B70D94"/>
    <w:rsid w:val="00B76998"/>
    <w:rsid w:val="00B967E5"/>
    <w:rsid w:val="00BA1965"/>
    <w:rsid w:val="00BB38A3"/>
    <w:rsid w:val="00BC0224"/>
    <w:rsid w:val="00BC700D"/>
    <w:rsid w:val="00C06FE0"/>
    <w:rsid w:val="00C15819"/>
    <w:rsid w:val="00C44926"/>
    <w:rsid w:val="00C5704C"/>
    <w:rsid w:val="00C824B0"/>
    <w:rsid w:val="00C9328D"/>
    <w:rsid w:val="00CA7484"/>
    <w:rsid w:val="00CA74F4"/>
    <w:rsid w:val="00CC2611"/>
    <w:rsid w:val="00CF6447"/>
    <w:rsid w:val="00D33473"/>
    <w:rsid w:val="00D40671"/>
    <w:rsid w:val="00D44B35"/>
    <w:rsid w:val="00D52F3A"/>
    <w:rsid w:val="00D93CD8"/>
    <w:rsid w:val="00DA000D"/>
    <w:rsid w:val="00DB0D27"/>
    <w:rsid w:val="00DC130D"/>
    <w:rsid w:val="00DD5C2E"/>
    <w:rsid w:val="00DF20F0"/>
    <w:rsid w:val="00DF481D"/>
    <w:rsid w:val="00DF4D58"/>
    <w:rsid w:val="00DF52E5"/>
    <w:rsid w:val="00DF7252"/>
    <w:rsid w:val="00E00C40"/>
    <w:rsid w:val="00E126AE"/>
    <w:rsid w:val="00E357DF"/>
    <w:rsid w:val="00E51D82"/>
    <w:rsid w:val="00E71EDD"/>
    <w:rsid w:val="00E87776"/>
    <w:rsid w:val="00EA00EA"/>
    <w:rsid w:val="00EA574E"/>
    <w:rsid w:val="00EA649D"/>
    <w:rsid w:val="00ED5916"/>
    <w:rsid w:val="00F01141"/>
    <w:rsid w:val="00F069B7"/>
    <w:rsid w:val="00F35D0E"/>
    <w:rsid w:val="00F42168"/>
    <w:rsid w:val="00F46225"/>
    <w:rsid w:val="00F475B9"/>
    <w:rsid w:val="00F70929"/>
    <w:rsid w:val="00F74497"/>
    <w:rsid w:val="00F76190"/>
    <w:rsid w:val="00F855D0"/>
    <w:rsid w:val="00F9297F"/>
    <w:rsid w:val="00FC4076"/>
    <w:rsid w:val="00FC54D0"/>
    <w:rsid w:val="00FE0D87"/>
    <w:rsid w:val="3BEC7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7">
    <w:name w:val="Default Paragraph Font"/>
    <w:semiHidden/>
    <w:unhideWhenUsed/>
    <w:qFormat/>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uiPriority w:val="99"/>
    <w:pPr>
      <w:spacing w:after="0" w:line="240" w:lineRule="auto"/>
    </w:pPr>
    <w:rPr>
      <w:rFonts w:ascii="Segoe UI" w:hAnsi="Segoe UI" w:cs="Segoe UI"/>
      <w:sz w:val="18"/>
      <w:szCs w:val="18"/>
    </w:rPr>
  </w:style>
  <w:style w:type="paragraph" w:styleId="3">
    <w:name w:val="annotation text"/>
    <w:basedOn w:val="1"/>
    <w:link w:val="12"/>
    <w:semiHidden/>
    <w:unhideWhenUsed/>
    <w:uiPriority w:val="99"/>
    <w:pPr>
      <w:spacing w:after="0" w:line="240" w:lineRule="auto"/>
    </w:pPr>
    <w:rPr>
      <w:rFonts w:ascii="Calibri" w:hAnsi="Calibri" w:cs="Calibri"/>
      <w:sz w:val="20"/>
      <w:szCs w:val="20"/>
    </w:rPr>
  </w:style>
  <w:style w:type="paragraph" w:styleId="4">
    <w:name w:val="annotation subject"/>
    <w:basedOn w:val="3"/>
    <w:next w:val="3"/>
    <w:link w:val="14"/>
    <w:semiHidden/>
    <w:unhideWhenUsed/>
    <w:uiPriority w:val="99"/>
    <w:pPr>
      <w:spacing w:after="160"/>
    </w:pPr>
    <w:rPr>
      <w:rFonts w:asciiTheme="minorHAnsi" w:hAnsiTheme="minorHAnsi" w:cstheme="minorBidi"/>
      <w:b/>
      <w:bCs/>
    </w:rPr>
  </w:style>
  <w:style w:type="paragraph" w:styleId="5">
    <w:name w:val="footer"/>
    <w:basedOn w:val="1"/>
    <w:link w:val="16"/>
    <w:unhideWhenUsed/>
    <w:uiPriority w:val="0"/>
    <w:pPr>
      <w:tabs>
        <w:tab w:val="center" w:pos="4680"/>
        <w:tab w:val="right" w:pos="9360"/>
      </w:tabs>
      <w:spacing w:after="0" w:line="240" w:lineRule="auto"/>
    </w:pPr>
  </w:style>
  <w:style w:type="paragraph" w:styleId="6">
    <w:name w:val="header"/>
    <w:basedOn w:val="1"/>
    <w:link w:val="15"/>
    <w:unhideWhenUsed/>
    <w:uiPriority w:val="0"/>
    <w:pPr>
      <w:tabs>
        <w:tab w:val="center" w:pos="4680"/>
        <w:tab w:val="right" w:pos="9360"/>
      </w:tabs>
      <w:spacing w:after="0" w:line="240" w:lineRule="auto"/>
    </w:pPr>
  </w:style>
  <w:style w:type="character" w:styleId="8">
    <w:name w:val="annotation reference"/>
    <w:basedOn w:val="7"/>
    <w:semiHidden/>
    <w:unhideWhenUsed/>
    <w:qFormat/>
    <w:uiPriority w:val="99"/>
    <w:rPr>
      <w:sz w:val="16"/>
      <w:szCs w:val="16"/>
    </w:rPr>
  </w:style>
  <w:style w:type="character" w:styleId="9">
    <w:name w:val="FollowedHyperlink"/>
    <w:basedOn w:val="7"/>
    <w:semiHidden/>
    <w:unhideWhenUsed/>
    <w:qFormat/>
    <w:uiPriority w:val="99"/>
    <w:rPr>
      <w:color w:val="954F72" w:themeColor="followedHyperlink"/>
      <w:u w:val="single"/>
      <w14:textFill>
        <w14:solidFill>
          <w14:schemeClr w14:val="folHlink"/>
        </w14:solidFill>
      </w14:textFill>
    </w:rPr>
  </w:style>
  <w:style w:type="character" w:styleId="10">
    <w:name w:val="Hyperlink"/>
    <w:basedOn w:val="7"/>
    <w:unhideWhenUsed/>
    <w:uiPriority w:val="99"/>
    <w:rPr>
      <w:color w:val="0563C1" w:themeColor="hyperlink"/>
      <w:u w:val="single"/>
      <w14:textFill>
        <w14:solidFill>
          <w14:schemeClr w14:val="hlink"/>
        </w14:solidFill>
      </w14:textFill>
    </w:rPr>
  </w:style>
  <w:style w:type="character" w:customStyle="1" w:styleId="12">
    <w:name w:val="Comment Text Char"/>
    <w:basedOn w:val="7"/>
    <w:link w:val="3"/>
    <w:semiHidden/>
    <w:uiPriority w:val="99"/>
    <w:rPr>
      <w:rFonts w:ascii="Calibri" w:hAnsi="Calibri" w:cs="Calibri"/>
      <w:sz w:val="20"/>
      <w:szCs w:val="20"/>
    </w:rPr>
  </w:style>
  <w:style w:type="character" w:customStyle="1" w:styleId="13">
    <w:name w:val="Balloon Text Char"/>
    <w:basedOn w:val="7"/>
    <w:link w:val="2"/>
    <w:semiHidden/>
    <w:uiPriority w:val="99"/>
    <w:rPr>
      <w:rFonts w:ascii="Segoe UI" w:hAnsi="Segoe UI" w:cs="Segoe UI"/>
      <w:sz w:val="18"/>
      <w:szCs w:val="18"/>
    </w:rPr>
  </w:style>
  <w:style w:type="character" w:customStyle="1" w:styleId="14">
    <w:name w:val="Comment Subject Char"/>
    <w:basedOn w:val="12"/>
    <w:link w:val="4"/>
    <w:semiHidden/>
    <w:qFormat/>
    <w:uiPriority w:val="99"/>
    <w:rPr>
      <w:rFonts w:ascii="Calibri" w:hAnsi="Calibri" w:cs="Calibri"/>
      <w:b/>
      <w:bCs/>
      <w:sz w:val="20"/>
      <w:szCs w:val="20"/>
    </w:rPr>
  </w:style>
  <w:style w:type="character" w:customStyle="1" w:styleId="15">
    <w:name w:val="Header Char"/>
    <w:basedOn w:val="7"/>
    <w:link w:val="6"/>
    <w:uiPriority w:val="99"/>
  </w:style>
  <w:style w:type="character" w:customStyle="1" w:styleId="16">
    <w:name w:val="Footer Char"/>
    <w:basedOn w:val="7"/>
    <w:link w:val="5"/>
    <w:qFormat/>
    <w:uiPriority w:val="0"/>
  </w:style>
  <w:style w:type="paragraph" w:styleId="17">
    <w:name w:val="List Paragraph"/>
    <w:basedOn w:val="1"/>
    <w:qFormat/>
    <w:uiPriority w:val="34"/>
    <w:pPr>
      <w:ind w:left="720"/>
      <w:contextualSpacing/>
    </w:pPr>
  </w:style>
  <w:style w:type="character" w:customStyle="1" w:styleId="18">
    <w:name w:val="Unresolved Mention1"/>
    <w:basedOn w:val="7"/>
    <w:semiHidden/>
    <w:unhideWhenUsed/>
    <w:uiPriority w:val="99"/>
    <w:rPr>
      <w:color w:val="605E5C"/>
      <w:shd w:val="clear" w:color="auto" w:fill="E1DFDD"/>
    </w:rPr>
  </w:style>
  <w:style w:type="character" w:styleId="19">
    <w:name w:val="Placeholder Text"/>
    <w:basedOn w:val="7"/>
    <w:semiHidden/>
    <w:uiPriority w:val="99"/>
    <w:rPr>
      <w:color w:val="808080"/>
    </w:rPr>
  </w:style>
  <w:style w:type="character" w:customStyle="1" w:styleId="20">
    <w:name w:val="Unresolved Mention2"/>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1C6014-CF5D-4E5B-ABFC-615331425FD5}">
  <ds:schemaRefs/>
</ds:datastoreItem>
</file>

<file path=docProps/app.xml><?xml version="1.0" encoding="utf-8"?>
<Properties xmlns="http://schemas.openxmlformats.org/officeDocument/2006/extended-properties" xmlns:vt="http://schemas.openxmlformats.org/officeDocument/2006/docPropsVTypes">
  <Template>Normal</Template>
  <Pages>4</Pages>
  <Words>1160</Words>
  <Characters>6612</Characters>
  <Lines>55</Lines>
  <Paragraphs>15</Paragraphs>
  <TotalTime>2</TotalTime>
  <ScaleCrop>false</ScaleCrop>
  <LinksUpToDate>false</LinksUpToDate>
  <CharactersWithSpaces>7757</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2019-05-15T18:05:00Z</dcterms:created>
  <dc:creator>ANA-LUIZA-MONICA DOMNISORU</dc:creator>
  <cp:lastModifiedBy>mihaela.balan</cp:lastModifiedBy>
  <cp:lastPrinted>2019-05-14T11:03:00Z</cp:lastPrinted>
  <dcterms:modified xsi:type="dcterms:W3CDTF">2019-05-16T07:57:59Z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