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rPr>
      </w:pPr>
      <w:bookmarkStart w:id="0" w:name="_GoBack"/>
      <w:bookmarkEnd w:id="0"/>
      <w:r>
        <w:rPr>
          <w:b/>
        </w:rPr>
        <w:t>PRESS RELEASE</w:t>
      </w:r>
    </w:p>
    <w:p>
      <w:pPr>
        <w:jc w:val="both"/>
        <w:rPr>
          <w:b/>
        </w:rPr>
      </w:pPr>
      <w:r>
        <w:rPr>
          <w:b/>
        </w:rPr>
        <w:t>Bucharest, 14.08.2019</w:t>
      </w:r>
    </w:p>
    <w:p>
      <w:pPr>
        <w:jc w:val="both"/>
        <w:rPr>
          <w:b/>
        </w:rPr>
      </w:pPr>
    </w:p>
    <w:p>
      <w:pPr>
        <w:spacing w:after="0"/>
        <w:jc w:val="both"/>
        <w:rPr>
          <w:b/>
          <w:sz w:val="28"/>
          <w:szCs w:val="28"/>
        </w:rPr>
      </w:pPr>
      <w:r>
        <w:rPr>
          <w:b/>
          <w:sz w:val="28"/>
          <w:szCs w:val="28"/>
        </w:rPr>
        <w:t xml:space="preserve">Financial Results H1 2019: </w:t>
      </w:r>
    </w:p>
    <w:p>
      <w:pPr>
        <w:spacing w:after="0"/>
        <w:rPr>
          <w:b/>
          <w:sz w:val="28"/>
          <w:szCs w:val="28"/>
        </w:rPr>
      </w:pPr>
      <w:r>
        <w:rPr>
          <w:b/>
          <w:sz w:val="28"/>
          <w:szCs w:val="28"/>
        </w:rPr>
        <w:t>Digi Communications N.V. announces 25% growth in EBITDA in the first half of 2019 compared to the first half of 2018</w:t>
      </w:r>
    </w:p>
    <w:p>
      <w:pPr>
        <w:spacing w:after="0"/>
        <w:jc w:val="both"/>
        <w:rPr>
          <w:b/>
        </w:rPr>
      </w:pPr>
    </w:p>
    <w:p>
      <w:pPr>
        <w:jc w:val="both"/>
        <w:rPr>
          <w:b/>
          <w:i/>
          <w:iCs/>
          <w:lang w:val="ro-RO"/>
        </w:rPr>
      </w:pPr>
      <w:r>
        <w:rPr>
          <w:b/>
          <w:i/>
          <w:iCs/>
        </w:rPr>
        <w:t>•</w:t>
      </w:r>
      <w:r>
        <w:rPr>
          <w:b/>
          <w:i/>
          <w:iCs/>
        </w:rPr>
        <w:tab/>
      </w:r>
      <w:r>
        <w:rPr>
          <w:b/>
          <w:i/>
          <w:iCs/>
          <w:lang w:val="en"/>
        </w:rPr>
        <w:t>EUR 575 million consolidated revenues at Group level, in the first half of 2019 (+18% compared to the first half of 2018)</w:t>
      </w:r>
    </w:p>
    <w:p>
      <w:pPr>
        <w:jc w:val="both"/>
        <w:rPr>
          <w:b/>
          <w:i/>
          <w:iCs/>
          <w:lang w:val="ro-RO"/>
        </w:rPr>
      </w:pPr>
      <w:r>
        <w:rPr>
          <w:b/>
          <w:i/>
          <w:iCs/>
        </w:rPr>
        <w:t>•</w:t>
      </w:r>
      <w:r>
        <w:rPr>
          <w:b/>
          <w:i/>
          <w:iCs/>
        </w:rPr>
        <w:tab/>
      </w:r>
      <w:r>
        <w:rPr>
          <w:b/>
          <w:i/>
          <w:iCs/>
          <w:lang w:val="en"/>
        </w:rPr>
        <w:t>15.5 million Revenue generating units (RGU), all services (+ 7% at June 30, 2019 as against June 30, 2018)</w:t>
      </w:r>
    </w:p>
    <w:p>
      <w:pPr>
        <w:jc w:val="both"/>
        <w:rPr>
          <w:b/>
          <w:i/>
          <w:iCs/>
          <w:lang w:val="en"/>
        </w:rPr>
      </w:pPr>
      <w:r>
        <w:rPr>
          <w:b/>
          <w:i/>
          <w:iCs/>
        </w:rPr>
        <w:t>•</w:t>
      </w:r>
      <w:r>
        <w:rPr>
          <w:b/>
          <w:i/>
          <w:iCs/>
        </w:rPr>
        <w:tab/>
      </w:r>
      <w:r>
        <w:rPr>
          <w:b/>
          <w:i/>
          <w:iCs/>
          <w:lang w:val="en"/>
        </w:rPr>
        <w:t>EUR 199 million adjusted EBITDA (cumulated for the first 6 months of 2019), up 25% from the same period for one year 2018</w:t>
      </w:r>
    </w:p>
    <w:p>
      <w:pPr>
        <w:jc w:val="both"/>
        <w:rPr>
          <w:b/>
          <w:i/>
          <w:iCs/>
          <w:lang w:val="en"/>
        </w:rPr>
      </w:pPr>
      <w:r>
        <w:rPr>
          <w:b/>
          <w:i/>
          <w:iCs/>
        </w:rPr>
        <w:t>•</w:t>
      </w:r>
      <w:r>
        <w:rPr>
          <w:b/>
          <w:i/>
          <w:iCs/>
        </w:rPr>
        <w:tab/>
      </w:r>
      <w:r>
        <w:rPr>
          <w:b/>
          <w:i/>
          <w:iCs/>
          <w:lang w:val="en"/>
        </w:rPr>
        <w:t>In Romania, the main growth vectors, in the first half of 2019 compared to the first half of 2018, are: fixed internet services (+ 10.6% RGU) and cable television services (+ 9.5% RGU)</w:t>
      </w:r>
    </w:p>
    <w:p>
      <w:pPr>
        <w:spacing w:after="0"/>
        <w:ind w:firstLine="720"/>
        <w:jc w:val="both"/>
        <w:rPr>
          <w:lang w:val="en"/>
        </w:rPr>
      </w:pPr>
      <w:r>
        <w:rPr>
          <w:lang w:val="en"/>
        </w:rPr>
        <w:t>Digi Communications Group N.V. reported on Wednesday, August 14th, the financial results for the first half of 2019, announcing an increase of consolidated revenues by EUR 89 million (18%), compared to the same period last year. Adjusted EBITDA was EUR 199.4 million, up by EUR 40.4 million (25%) compared to the same period of 2018.</w:t>
      </w:r>
    </w:p>
    <w:p>
      <w:pPr>
        <w:spacing w:after="0"/>
        <w:ind w:firstLine="720"/>
        <w:jc w:val="both"/>
        <w:rPr>
          <w:lang w:val="en"/>
        </w:rPr>
      </w:pPr>
      <w:r>
        <w:rPr>
          <w:lang w:val="en"/>
        </w:rPr>
        <w:t>Romania remains the main market of the Group, generating 63% of its revenues, in second place being Hungary (with 19%), followed by Spain (16%) and Italy (2%). In total, in the four markets, the company has registered RGU 15.5 million (revenue generating units), while, on June 30, 2018, the company cumulated 14.5 million RGU.</w:t>
      </w:r>
    </w:p>
    <w:p>
      <w:pPr>
        <w:spacing w:after="0"/>
        <w:ind w:firstLine="720"/>
        <w:jc w:val="both"/>
        <w:rPr>
          <w:lang w:val="en"/>
        </w:rPr>
      </w:pPr>
      <w:r>
        <w:rPr>
          <w:lang w:val="en"/>
        </w:rPr>
        <w:t>In Hungary, the company also registered increases in the fixed internet services segment (3.7% - RGU on June 2019 compared to June 2018) and in the cable television services (1.8% - RGU on June 2019 as compared to June 2018).</w:t>
      </w:r>
    </w:p>
    <w:p>
      <w:pPr>
        <w:spacing w:after="0"/>
        <w:ind w:firstLine="720"/>
        <w:jc w:val="both"/>
        <w:rPr>
          <w:lang w:val="ro-RO"/>
        </w:rPr>
      </w:pPr>
      <w:r>
        <w:rPr>
          <w:lang w:val="en"/>
        </w:rPr>
        <w:t>In Spain and Italy, Digi Communications addresses both the Romanian diaspora and local clients. In total, the two markets contribute 1.9 million revenue-generating units, mainly for services offered as mobile virtual network operator (MVNO).</w:t>
      </w:r>
    </w:p>
    <w:p>
      <w:pPr>
        <w:spacing w:after="0"/>
        <w:ind w:firstLine="720"/>
        <w:jc w:val="both"/>
      </w:pPr>
      <w:r>
        <w:t xml:space="preserve">”In the second quarter of 2019 we achieved an important result in terms of main financial indicators. Thus, the Group's turnover exceeded EUR 294 million (16% increase compared to the same period of 2018), and EBITDA reached EUR 109 million (33% increase compared to the similar period of 2018), results sustained by operational increases.  </w:t>
      </w:r>
    </w:p>
    <w:p>
      <w:pPr>
        <w:spacing w:after="0"/>
        <w:ind w:firstLine="720"/>
        <w:jc w:val="both"/>
        <w:rPr>
          <w:lang w:val="ro-RO"/>
        </w:rPr>
      </w:pPr>
      <w:r>
        <w:rPr>
          <w:lang w:val="en"/>
        </w:rPr>
        <w:t xml:space="preserve">In the last six months, we have taken important steps towards diversifying our offerings on the Hungarian and Spanish markets. We launched mobile services in Hungary, on the second quarter of 2019, and we continued to expand the coverage with fixed communication services in Spain. Regarding Romania, I would like to mention </w:t>
      </w:r>
      <w:r>
        <w:rPr>
          <w:highlight w:val="none"/>
          <w:lang w:val="en"/>
        </w:rPr>
        <w:t>an important achievement, the launch of 5G services at the end of June, currently operational in Bucharest, Constanta, Iasi and Oradea at the moment,” said Serghei Bulgac, CEO of Digi Communications N.V..</w:t>
      </w:r>
    </w:p>
    <w:p>
      <w:pPr>
        <w:spacing w:after="0"/>
        <w:ind w:firstLine="360"/>
        <w:jc w:val="both"/>
        <w:rPr>
          <w:b/>
        </w:rPr>
      </w:pPr>
      <w:r>
        <w:rPr>
          <w:b/>
        </w:rPr>
        <w:t>EVOLUTION BY MARKET</w:t>
      </w:r>
    </w:p>
    <w:p>
      <w:pPr>
        <w:spacing w:after="0"/>
        <w:ind w:firstLine="360"/>
        <w:jc w:val="both"/>
      </w:pPr>
    </w:p>
    <w:p>
      <w:pPr>
        <w:spacing w:after="0"/>
        <w:ind w:firstLine="360"/>
        <w:jc w:val="both"/>
        <w:rPr>
          <w:rFonts w:ascii="Arial" w:hAnsi="Arial" w:cs="Arial"/>
        </w:rPr>
      </w:pPr>
      <w:r>
        <w:rPr>
          <w:rStyle w:val="18"/>
          <w:lang w:val="en"/>
        </w:rPr>
        <w:t xml:space="preserve">In </w:t>
      </w:r>
      <w:r>
        <w:rPr>
          <w:rStyle w:val="18"/>
          <w:b/>
          <w:lang w:val="en"/>
        </w:rPr>
        <w:t>Romania</w:t>
      </w:r>
      <w:r>
        <w:rPr>
          <w:rStyle w:val="18"/>
          <w:lang w:val="en"/>
        </w:rPr>
        <w:t>, the Group reported increases in the cable and fixed internet services segments, with a 9.5% increase in subscriptions to cable TV services (RGU 3.45 million, as of June 30, 2019, compared to RGU 3.15 million, at June 30, 2018) and 10.6% respectively for subscriptions for fixed internet services (RGU 2.64 million at June 30, 2019 compared to RGU 2.38 million, for the same period of the previous year). In terms of mobile services, Digi is the leader of the portability market with about 164,480 numbers ported to the Digi Mobil network, in the first semester of the year. Reported at the same period of the previous year, the Group's fixed and mobile telephone networks attracted, by the porting service, 35% more fixed and mobile numbers as compared to the same period of the previous year (179,328 ported numbers, in the first half of the year 2019, compared to 132,602 numbers, in the same period of year 2018)</w:t>
      </w:r>
      <w:r>
        <w:t>.</w:t>
      </w:r>
      <w:r>
        <w:rPr>
          <w:rFonts w:ascii="Arial" w:hAnsi="Arial" w:cs="Arial"/>
        </w:rPr>
        <w:t>*</w:t>
      </w:r>
    </w:p>
    <w:p>
      <w:pPr>
        <w:spacing w:after="0"/>
        <w:ind w:firstLine="360"/>
        <w:jc w:val="both"/>
        <w:rPr>
          <w:rFonts w:ascii="Arial" w:hAnsi="Arial" w:cs="Arial"/>
        </w:rPr>
      </w:pPr>
      <w:r>
        <w:rPr>
          <w:rStyle w:val="18"/>
          <w:lang w:val="en"/>
        </w:rPr>
        <w:t xml:space="preserve">In </w:t>
      </w:r>
      <w:r>
        <w:rPr>
          <w:rStyle w:val="18"/>
          <w:b/>
          <w:lang w:val="en"/>
        </w:rPr>
        <w:t>Hungary</w:t>
      </w:r>
      <w:r>
        <w:rPr>
          <w:rStyle w:val="18"/>
          <w:lang w:val="en"/>
        </w:rPr>
        <w:t>, the revenues of the Digi Communications subsidiary (including Invitel) ** increased to EUR 110 million in the first half of 2019 (up 37%, mainly due to consolidation of Invitel). In the fixed internet services segment, Digi is the second operator (with a market share of over 24%), while in the fixed telephony services segment has a market share of about 23%.</w:t>
      </w:r>
      <w:r>
        <w:rPr>
          <w:rFonts w:ascii="Arial" w:hAnsi="Arial" w:cs="Arial"/>
        </w:rPr>
        <w:t>***</w:t>
      </w:r>
    </w:p>
    <w:p>
      <w:pPr>
        <w:spacing w:after="0"/>
        <w:ind w:firstLine="360"/>
        <w:jc w:val="both"/>
      </w:pPr>
      <w:r>
        <w:rPr>
          <w:rStyle w:val="18"/>
          <w:b/>
          <w:lang w:val="en"/>
        </w:rPr>
        <w:t>Spain and Italy</w:t>
      </w:r>
      <w:r>
        <w:rPr>
          <w:rStyle w:val="18"/>
          <w:lang w:val="en"/>
        </w:rPr>
        <w:t xml:space="preserve"> registered a significant increase of 42% of RGU, raising from RGU 1.33 million, as of June 30, 2018, to RGU 1.9 million on June 30, 2019. Digi Spain has positioned as MVNO (virtual operator of mobile telephony services) market leader, and the fifth mobile operator on the Iberian market. On the two mature European markets, Digi addresses both the Romanian diaspora and local customers.</w:t>
      </w:r>
    </w:p>
    <w:p>
      <w:pPr>
        <w:jc w:val="both"/>
        <w:rPr>
          <w:b/>
        </w:rPr>
      </w:pPr>
    </w:p>
    <w:p>
      <w:pPr>
        <w:jc w:val="both"/>
        <w:rPr>
          <w:b/>
          <w:i/>
        </w:rPr>
      </w:pPr>
      <w:r>
        <w:rPr>
          <w:b/>
          <w:i/>
        </w:rPr>
        <w:t>About Digi group</w:t>
      </w:r>
    </w:p>
    <w:p>
      <w:pPr>
        <w:jc w:val="both"/>
        <w:rPr>
          <w:i/>
          <w:lang w:val="en"/>
        </w:rPr>
      </w:pPr>
      <w:r>
        <w:rPr>
          <w:i/>
          <w:lang w:val="en"/>
        </w:rPr>
        <w:t>Digi Communications N.V. is the parent company of the electronic communications operator RCS &amp; RDS S.A., the leader of internet, pay-tv and convergent services market in Romania, with operations in Hungary, Spain and Italy. Established 26 years ago, the company owns the largest state of the art fiber optic network in the region. Digi brings to the market the most accessible electronic communications services, both in the field of fixed and mobile communications. Over time, this competitive advantage has turned into a benefit for millions of customers, thus gaining faster and less expensive access to the highest quality services.</w:t>
      </w:r>
    </w:p>
    <w:p>
      <w:pPr>
        <w:jc w:val="both"/>
        <w:rPr>
          <w:i/>
          <w:lang w:val="en"/>
        </w:rPr>
      </w:pPr>
      <w:r>
        <w:rPr>
          <w:i/>
          <w:lang w:val="en"/>
        </w:rPr>
        <w:t>In Romania, the Digi Group is the largest private employer among local enterprises, having over 13,000 employees, and contributing annually to the state budget and social and health insurance with more than EUR 120 million.</w:t>
      </w:r>
    </w:p>
    <w:p>
      <w:pPr>
        <w:jc w:val="both"/>
        <w:rPr>
          <w:i/>
          <w:lang w:val="en"/>
        </w:rPr>
      </w:pPr>
      <w:r>
        <w:rPr>
          <w:i/>
          <w:lang w:val="en"/>
        </w:rPr>
        <w:t>Digi Group trans-media content offering includes Digi24, Digi Sport, Film Now, Digi World, Digi Animal World, Digi Life, UTV, Music Channel and Hit Music Channel, the first Ultra HD channel in Romania, Digi4K, Pro FM, Digi FM and Chill FM radio stations and online communication platforms brought together under DigiOnline.</w:t>
      </w:r>
    </w:p>
    <w:p>
      <w:pPr>
        <w:jc w:val="both"/>
        <w:rPr>
          <w:bCs/>
          <w:i/>
          <w:iCs/>
        </w:rPr>
      </w:pPr>
      <w:r>
        <w:rPr>
          <w:i/>
          <w:lang w:val="en"/>
        </w:rPr>
        <w:t xml:space="preserve">More information is available </w:t>
      </w:r>
      <w:r>
        <w:fldChar w:fldCharType="begin"/>
      </w:r>
      <w:r>
        <w:instrText xml:space="preserve"> HYPERLINK "https://www.digi-communications.ro/en/investor-relations/bonds/financial-results-presentations-bonds/investor-presentations-bonds" </w:instrText>
      </w:r>
      <w:r>
        <w:fldChar w:fldCharType="separate"/>
      </w:r>
      <w:r>
        <w:rPr>
          <w:rStyle w:val="10"/>
          <w:i/>
          <w:lang w:val="en"/>
        </w:rPr>
        <w:t>here</w:t>
      </w:r>
      <w:r>
        <w:rPr>
          <w:rStyle w:val="10"/>
          <w:i/>
          <w:lang w:val="en"/>
        </w:rPr>
        <w:fldChar w:fldCharType="end"/>
      </w:r>
      <w:r>
        <w:rPr>
          <w:i/>
          <w:lang w:val="en"/>
        </w:rPr>
        <w:t>.</w:t>
      </w:r>
    </w:p>
    <w:p>
      <w:pPr>
        <w:jc w:val="both"/>
        <w:rPr>
          <w:rFonts w:ascii="Arial" w:hAnsi="Arial" w:cs="Arial"/>
          <w:sz w:val="20"/>
          <w:szCs w:val="20"/>
        </w:rPr>
      </w:pPr>
      <w:r>
        <w:rPr>
          <w:rFonts w:ascii="Arial" w:hAnsi="Arial" w:cs="Arial"/>
          <w:sz w:val="20"/>
          <w:szCs w:val="20"/>
        </w:rPr>
        <w:t>⃰ According to statistics provided by portabilitate.ro.</w:t>
      </w:r>
    </w:p>
    <w:p>
      <w:pPr>
        <w:jc w:val="both"/>
        <w:rPr>
          <w:rFonts w:ascii="Arial" w:hAnsi="Arial" w:cs="Arial"/>
          <w:sz w:val="20"/>
          <w:szCs w:val="20"/>
        </w:rPr>
      </w:pPr>
      <w:r>
        <w:rPr>
          <w:rFonts w:ascii="Arial" w:hAnsi="Arial" w:cs="Arial"/>
          <w:sz w:val="20"/>
          <w:szCs w:val="20"/>
        </w:rPr>
        <w:t xml:space="preserve"> ⃰ ⃰ Including investment in Invitel, Hungarian company owned mainly by the Group, as of May 30, 2018.</w:t>
      </w:r>
    </w:p>
    <w:p>
      <w:pPr>
        <w:jc w:val="both"/>
        <w:rPr>
          <w:rFonts w:asciiTheme="majorHAnsi" w:hAnsiTheme="majorHAnsi" w:cstheme="majorHAnsi"/>
          <w:i/>
          <w:iCs/>
          <w:sz w:val="20"/>
          <w:szCs w:val="20"/>
        </w:rPr>
      </w:pPr>
      <w:r>
        <w:rPr>
          <w:rFonts w:ascii="Arial" w:hAnsi="Arial" w:cs="Arial"/>
          <w:sz w:val="20"/>
          <w:szCs w:val="20"/>
        </w:rPr>
        <w:t xml:space="preserve"> ⃰ ⃰ ⃰ According to NMHH, the Hungarian authority for regulating electronic communications</w:t>
      </w:r>
    </w:p>
    <w:sectPr>
      <w:headerReference r:id="rId3" w:type="default"/>
      <w:footerReference r:id="rId4"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3"/>
      <w:rPr>
        <w:rFonts w:ascii="Arial" w:hAnsi="Arial" w:cs="Arial"/>
        <w:color w:val="595959"/>
        <w:sz w:val="12"/>
      </w:rPr>
    </w:pPr>
    <w:r>
      <w:rPr>
        <w:rFonts w:ascii="Arial" w:hAnsi="Arial" w:cs="Arial"/>
        <w:b/>
        <w:color w:val="595959"/>
        <w:sz w:val="12"/>
      </w:rPr>
      <w:t>Digi Communications N.V.</w:t>
    </w:r>
  </w:p>
  <w:p>
    <w:pPr>
      <w:pStyle w:val="5"/>
    </w:pPr>
    <w:r>
      <w:rPr>
        <w:rFonts w:ascii="Arial" w:hAnsi="Arial" w:cs="Arial"/>
        <w:color w:val="595959"/>
        <w:sz w:val="12"/>
      </w:rPr>
      <w:t>Str. Dr. Staicovici nr. 75, Forum 2000 Building, Faza I, Et. 2, Sector 5, București</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0" w:type="auto"/>
      <w:tblInd w:w="4511" w:type="dxa"/>
      <w:tblLayout w:type="fixed"/>
      <w:tblCellMar>
        <w:top w:w="0" w:type="dxa"/>
        <w:left w:w="108" w:type="dxa"/>
        <w:bottom w:w="0" w:type="dxa"/>
        <w:right w:w="108" w:type="dxa"/>
      </w:tblCellMar>
    </w:tblPr>
    <w:tblGrid>
      <w:gridCol w:w="1551"/>
      <w:gridCol w:w="1559"/>
      <w:gridCol w:w="2835"/>
    </w:tblGrid>
    <w:tr>
      <w:tc>
        <w:tcPr>
          <w:tcW w:w="1551" w:type="dxa"/>
          <w:vMerge w:val="restart"/>
          <w:shd w:val="clear" w:color="auto" w:fill="auto"/>
        </w:tcPr>
        <w:p>
          <w:pPr>
            <w:suppressAutoHyphens/>
            <w:snapToGrid w:val="0"/>
            <w:spacing w:after="0" w:line="240" w:lineRule="auto"/>
            <w:rPr>
              <w:rFonts w:ascii="Arial" w:hAnsi="Arial" w:eastAsia="Calibri" w:cs="Arial"/>
              <w:b/>
              <w:sz w:val="12"/>
              <w:szCs w:val="12"/>
              <w:lang w:eastAsia="ar-SA"/>
            </w:rPr>
          </w:pPr>
        </w:p>
      </w:tc>
      <w:tc>
        <w:tcPr>
          <w:tcW w:w="1559" w:type="dxa"/>
          <w:shd w:val="clear" w:color="auto" w:fill="auto"/>
        </w:tcPr>
        <w:p>
          <w:pPr>
            <w:suppressAutoHyphens/>
            <w:spacing w:after="0" w:line="240" w:lineRule="auto"/>
            <w:rPr>
              <w:rFonts w:ascii="Arial" w:hAnsi="Arial" w:eastAsia="Calibri" w:cs="Arial"/>
              <w:b/>
              <w:sz w:val="12"/>
              <w:szCs w:val="12"/>
              <w:lang w:eastAsia="ar-SA"/>
            </w:rPr>
          </w:pPr>
          <w:r>
            <w:rPr>
              <w:rFonts w:ascii="Arial" w:hAnsi="Arial" w:eastAsia="Calibri" w:cs="Arial"/>
              <w:b/>
              <w:sz w:val="12"/>
              <w:szCs w:val="12"/>
              <w:lang w:eastAsia="ar-SA"/>
            </w:rPr>
            <w:t>Fax: +40 (31) 400 6505</w:t>
          </w:r>
        </w:p>
      </w:tc>
      <w:tc>
        <w:tcPr>
          <w:tcW w:w="2835" w:type="dxa"/>
          <w:shd w:val="clear" w:color="auto" w:fill="auto"/>
        </w:tcPr>
        <w:p>
          <w:pPr>
            <w:suppressAutoHyphens/>
            <w:spacing w:after="0" w:line="240" w:lineRule="auto"/>
            <w:rPr>
              <w:rFonts w:ascii="Calibri" w:hAnsi="Calibri" w:eastAsia="Calibri" w:cs="Times New Roman"/>
              <w:lang w:eastAsia="ar-SA"/>
            </w:rPr>
          </w:pPr>
          <w:r>
            <w:rPr>
              <w:rFonts w:ascii="Arial" w:hAnsi="Arial" w:eastAsia="Calibri" w:cs="Arial"/>
              <w:b/>
              <w:sz w:val="12"/>
              <w:szCs w:val="12"/>
              <w:lang w:eastAsia="ar-SA"/>
            </w:rPr>
            <w:t>Email: ipo.relations@digi-communications.ro</w:t>
          </w:r>
        </w:p>
      </w:tc>
    </w:tr>
    <w:tr>
      <w:tblPrEx>
        <w:tblCellMar>
          <w:top w:w="0" w:type="dxa"/>
          <w:left w:w="108" w:type="dxa"/>
          <w:bottom w:w="0" w:type="dxa"/>
          <w:right w:w="108" w:type="dxa"/>
        </w:tblCellMar>
      </w:tblPrEx>
      <w:tc>
        <w:tcPr>
          <w:tcW w:w="1551" w:type="dxa"/>
          <w:vMerge w:val="continue"/>
          <w:shd w:val="clear" w:color="auto" w:fill="auto"/>
        </w:tcPr>
        <w:p>
          <w:pPr>
            <w:suppressAutoHyphens/>
            <w:snapToGrid w:val="0"/>
            <w:spacing w:after="0" w:line="240" w:lineRule="auto"/>
            <w:rPr>
              <w:rFonts w:ascii="Arial" w:hAnsi="Arial" w:eastAsia="Calibri" w:cs="Arial"/>
              <w:b/>
              <w:sz w:val="12"/>
              <w:szCs w:val="12"/>
              <w:lang w:eastAsia="ar-SA"/>
            </w:rPr>
          </w:pPr>
        </w:p>
      </w:tc>
      <w:tc>
        <w:tcPr>
          <w:tcW w:w="1559" w:type="dxa"/>
          <w:shd w:val="clear" w:color="auto" w:fill="auto"/>
        </w:tcPr>
        <w:p>
          <w:pPr>
            <w:suppressAutoHyphens/>
            <w:snapToGrid w:val="0"/>
            <w:spacing w:after="0" w:line="240" w:lineRule="auto"/>
            <w:rPr>
              <w:rFonts w:ascii="Arial" w:hAnsi="Arial" w:eastAsia="Calibri" w:cs="Arial"/>
              <w:b/>
              <w:sz w:val="12"/>
              <w:szCs w:val="12"/>
              <w:lang w:eastAsia="ar-SA"/>
            </w:rPr>
          </w:pPr>
        </w:p>
      </w:tc>
      <w:tc>
        <w:tcPr>
          <w:tcW w:w="2835" w:type="dxa"/>
          <w:shd w:val="clear" w:color="auto" w:fill="auto"/>
        </w:tcPr>
        <w:p>
          <w:pPr>
            <w:suppressAutoHyphens/>
            <w:spacing w:after="0" w:line="240" w:lineRule="auto"/>
            <w:rPr>
              <w:rFonts w:ascii="Calibri" w:hAnsi="Calibri" w:eastAsia="Calibri" w:cs="Times New Roman"/>
              <w:lang w:eastAsia="ar-SA"/>
            </w:rPr>
          </w:pPr>
          <w:r>
            <w:rPr>
              <w:rFonts w:ascii="Arial" w:hAnsi="Arial" w:eastAsia="Calibri" w:cs="Arial"/>
              <w:b/>
              <w:sz w:val="12"/>
              <w:szCs w:val="12"/>
              <w:lang w:eastAsia="ar-SA"/>
            </w:rPr>
            <w:t>Web: www.digi-communications.ro</w:t>
          </w:r>
        </w:p>
      </w:tc>
    </w:tr>
  </w:tbl>
  <w:p>
    <w:pPr>
      <w:pStyle w:val="6"/>
      <w:ind w:right="-1179"/>
      <w:rPr>
        <w:rFonts w:ascii="Arial" w:hAnsi="Arial" w:cs="Arial"/>
        <w:sz w:val="16"/>
        <w:szCs w:val="16"/>
      </w:rPr>
    </w:pPr>
    <w:r>
      <w:rPr>
        <w:lang w:val="ro-RO" w:eastAsia="ro-RO"/>
      </w:rPr>
      <w:drawing>
        <wp:anchor distT="0" distB="0" distL="114935" distR="114935" simplePos="0" relativeHeight="251658240" behindDoc="1" locked="0" layoutInCell="1" allowOverlap="1">
          <wp:simplePos x="0" y="0"/>
          <wp:positionH relativeFrom="column">
            <wp:posOffset>-77470</wp:posOffset>
          </wp:positionH>
          <wp:positionV relativeFrom="paragraph">
            <wp:posOffset>-260350</wp:posOffset>
          </wp:positionV>
          <wp:extent cx="1035050" cy="3587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l="5800" t="11932" r="7170" b="17532"/>
                  <a:stretch>
                    <a:fillRect/>
                  </a:stretch>
                </pic:blipFill>
                <pic:spPr>
                  <a:xfrm>
                    <a:off x="0" y="0"/>
                    <a:ext cx="1035050" cy="358775"/>
                  </a:xfrm>
                  <a:prstGeom prst="rect">
                    <a:avLst/>
                  </a:prstGeom>
                  <a:solidFill>
                    <a:srgbClr val="FFFFFF"/>
                  </a:solidFill>
                  <a:ln>
                    <a:noFill/>
                  </a:ln>
                </pic:spPr>
              </pic:pic>
            </a:graphicData>
          </a:graphic>
        </wp:anchor>
      </w:drawing>
    </w:r>
  </w:p>
  <w:tbl>
    <w:tblPr>
      <w:tblStyle w:val="11"/>
      <w:tblpPr w:leftFromText="180" w:rightFromText="180" w:vertAnchor="text" w:horzAnchor="margin" w:tblpXSpec="center" w:tblpY="1"/>
      <w:tblOverlap w:val="never"/>
      <w:tblW w:w="5816" w:type="dxa"/>
      <w:tblInd w:w="0" w:type="dxa"/>
      <w:tblLayout w:type="fixed"/>
      <w:tblCellMar>
        <w:top w:w="0" w:type="dxa"/>
        <w:left w:w="108" w:type="dxa"/>
        <w:bottom w:w="0" w:type="dxa"/>
        <w:right w:w="108" w:type="dxa"/>
      </w:tblCellMar>
    </w:tblPr>
    <w:tblGrid>
      <w:gridCol w:w="1517"/>
      <w:gridCol w:w="1525"/>
      <w:gridCol w:w="2774"/>
    </w:tblGrid>
    <w:tr>
      <w:tblPrEx>
        <w:tblCellMar>
          <w:top w:w="0" w:type="dxa"/>
          <w:left w:w="108" w:type="dxa"/>
          <w:bottom w:w="0" w:type="dxa"/>
          <w:right w:w="108" w:type="dxa"/>
        </w:tblCellMar>
      </w:tblPrEx>
      <w:trPr>
        <w:trHeight w:val="254" w:hRule="atLeast"/>
      </w:trPr>
      <w:tc>
        <w:tcPr>
          <w:tcW w:w="1517" w:type="dxa"/>
          <w:vMerge w:val="restart"/>
          <w:shd w:val="clear" w:color="auto" w:fill="auto"/>
        </w:tcPr>
        <w:p>
          <w:pPr>
            <w:snapToGrid w:val="0"/>
            <w:spacing w:after="0" w:line="240" w:lineRule="auto"/>
            <w:rPr>
              <w:rFonts w:ascii="Arial" w:hAnsi="Arial" w:cs="Arial"/>
              <w:b/>
              <w:sz w:val="12"/>
              <w:szCs w:val="12"/>
            </w:rPr>
          </w:pPr>
        </w:p>
      </w:tc>
      <w:tc>
        <w:tcPr>
          <w:tcW w:w="1525" w:type="dxa"/>
          <w:shd w:val="clear" w:color="auto" w:fill="auto"/>
        </w:tcPr>
        <w:p>
          <w:pPr>
            <w:pStyle w:val="6"/>
            <w:rPr>
              <w:rFonts w:ascii="Arial" w:hAnsi="Arial" w:cs="Arial"/>
              <w:b/>
              <w:sz w:val="12"/>
              <w:szCs w:val="12"/>
            </w:rPr>
          </w:pPr>
        </w:p>
      </w:tc>
      <w:tc>
        <w:tcPr>
          <w:tcW w:w="2774" w:type="dxa"/>
          <w:shd w:val="clear" w:color="auto" w:fill="auto"/>
        </w:tcPr>
        <w:p>
          <w:pPr>
            <w:pStyle w:val="6"/>
          </w:pPr>
        </w:p>
      </w:tc>
    </w:tr>
    <w:tr>
      <w:tblPrEx>
        <w:tblCellMar>
          <w:top w:w="0" w:type="dxa"/>
          <w:left w:w="108" w:type="dxa"/>
          <w:bottom w:w="0" w:type="dxa"/>
          <w:right w:w="108" w:type="dxa"/>
        </w:tblCellMar>
      </w:tblPrEx>
      <w:trPr>
        <w:trHeight w:val="269" w:hRule="atLeast"/>
      </w:trPr>
      <w:tc>
        <w:tcPr>
          <w:tcW w:w="1517" w:type="dxa"/>
          <w:vMerge w:val="continue"/>
          <w:shd w:val="clear" w:color="auto" w:fill="auto"/>
        </w:tcPr>
        <w:p>
          <w:pPr>
            <w:pStyle w:val="6"/>
            <w:snapToGrid w:val="0"/>
            <w:rPr>
              <w:rFonts w:ascii="Arial" w:hAnsi="Arial" w:cs="Arial"/>
              <w:b/>
              <w:sz w:val="12"/>
              <w:szCs w:val="12"/>
            </w:rPr>
          </w:pPr>
        </w:p>
      </w:tc>
      <w:tc>
        <w:tcPr>
          <w:tcW w:w="1525" w:type="dxa"/>
          <w:shd w:val="clear" w:color="auto" w:fill="auto"/>
        </w:tcPr>
        <w:p>
          <w:pPr>
            <w:pStyle w:val="6"/>
            <w:snapToGrid w:val="0"/>
            <w:rPr>
              <w:rFonts w:ascii="Arial" w:hAnsi="Arial" w:cs="Arial"/>
              <w:b/>
              <w:sz w:val="12"/>
              <w:szCs w:val="12"/>
            </w:rPr>
          </w:pPr>
        </w:p>
      </w:tc>
      <w:tc>
        <w:tcPr>
          <w:tcW w:w="2774" w:type="dxa"/>
          <w:shd w:val="clear" w:color="auto" w:fill="auto"/>
        </w:tcPr>
        <w:p>
          <w:pPr>
            <w:pStyle w:val="6"/>
          </w:pPr>
        </w:p>
      </w:tc>
    </w:tr>
  </w:tbl>
  <w:p>
    <w:pPr>
      <w:pStyle w:val="6"/>
    </w:pP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hyphenationZone w:val="425"/>
  <w:evenAndOddHeaders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1F4"/>
    <w:rsid w:val="00032FBD"/>
    <w:rsid w:val="00060C2D"/>
    <w:rsid w:val="000B549D"/>
    <w:rsid w:val="0011131A"/>
    <w:rsid w:val="001528D0"/>
    <w:rsid w:val="00166028"/>
    <w:rsid w:val="001A606B"/>
    <w:rsid w:val="001C42C8"/>
    <w:rsid w:val="002061FB"/>
    <w:rsid w:val="002205CE"/>
    <w:rsid w:val="00232EFD"/>
    <w:rsid w:val="00250423"/>
    <w:rsid w:val="0029028A"/>
    <w:rsid w:val="002B14DF"/>
    <w:rsid w:val="0031190F"/>
    <w:rsid w:val="0035443A"/>
    <w:rsid w:val="00380161"/>
    <w:rsid w:val="003C57AD"/>
    <w:rsid w:val="003E23BE"/>
    <w:rsid w:val="003F1201"/>
    <w:rsid w:val="00402C43"/>
    <w:rsid w:val="00411330"/>
    <w:rsid w:val="00421F54"/>
    <w:rsid w:val="004240B7"/>
    <w:rsid w:val="004320B1"/>
    <w:rsid w:val="00441B6A"/>
    <w:rsid w:val="00447852"/>
    <w:rsid w:val="004566F6"/>
    <w:rsid w:val="004B5E3E"/>
    <w:rsid w:val="0051449E"/>
    <w:rsid w:val="0054379B"/>
    <w:rsid w:val="00587B16"/>
    <w:rsid w:val="0059511B"/>
    <w:rsid w:val="006261F4"/>
    <w:rsid w:val="00660133"/>
    <w:rsid w:val="00675BBD"/>
    <w:rsid w:val="006C748F"/>
    <w:rsid w:val="006E4206"/>
    <w:rsid w:val="00704BC7"/>
    <w:rsid w:val="00720953"/>
    <w:rsid w:val="007310C2"/>
    <w:rsid w:val="00736EA0"/>
    <w:rsid w:val="00762C00"/>
    <w:rsid w:val="007B7F0F"/>
    <w:rsid w:val="007D299F"/>
    <w:rsid w:val="007D2DB2"/>
    <w:rsid w:val="00865B57"/>
    <w:rsid w:val="00874BEA"/>
    <w:rsid w:val="00933D73"/>
    <w:rsid w:val="00974FF4"/>
    <w:rsid w:val="009B034C"/>
    <w:rsid w:val="009D7006"/>
    <w:rsid w:val="009F7634"/>
    <w:rsid w:val="00A37DA7"/>
    <w:rsid w:val="00A93532"/>
    <w:rsid w:val="00AA7AA0"/>
    <w:rsid w:val="00B65FDD"/>
    <w:rsid w:val="00B81CB1"/>
    <w:rsid w:val="00B9268C"/>
    <w:rsid w:val="00BC0224"/>
    <w:rsid w:val="00C33417"/>
    <w:rsid w:val="00C44926"/>
    <w:rsid w:val="00C5704C"/>
    <w:rsid w:val="00C765AB"/>
    <w:rsid w:val="00CC2611"/>
    <w:rsid w:val="00D52F3A"/>
    <w:rsid w:val="00D7795F"/>
    <w:rsid w:val="00D93CD8"/>
    <w:rsid w:val="00DA000D"/>
    <w:rsid w:val="00DB719F"/>
    <w:rsid w:val="00DC73B5"/>
    <w:rsid w:val="00DF52E5"/>
    <w:rsid w:val="00E43DDF"/>
    <w:rsid w:val="00E46EBD"/>
    <w:rsid w:val="00E70766"/>
    <w:rsid w:val="00F15FFD"/>
    <w:rsid w:val="00F30A06"/>
    <w:rsid w:val="00F70528"/>
    <w:rsid w:val="00F76190"/>
    <w:rsid w:val="00F9297F"/>
    <w:rsid w:val="00FA20FD"/>
    <w:rsid w:val="00FE4F0C"/>
    <w:rsid w:val="63625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8">
    <w:name w:val="Default Paragraph Font"/>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pPr>
      <w:spacing w:after="0" w:line="240" w:lineRule="auto"/>
    </w:pPr>
    <w:rPr>
      <w:rFonts w:ascii="Segoe UI" w:hAnsi="Segoe UI" w:cs="Segoe UI"/>
      <w:sz w:val="18"/>
      <w:szCs w:val="18"/>
    </w:rPr>
  </w:style>
  <w:style w:type="paragraph" w:styleId="3">
    <w:name w:val="annotation text"/>
    <w:basedOn w:val="1"/>
    <w:link w:val="12"/>
    <w:semiHidden/>
    <w:unhideWhenUsed/>
    <w:uiPriority w:val="99"/>
    <w:pPr>
      <w:spacing w:after="0" w:line="240" w:lineRule="auto"/>
    </w:pPr>
    <w:rPr>
      <w:rFonts w:ascii="Calibri" w:hAnsi="Calibri" w:cs="Calibri"/>
      <w:sz w:val="20"/>
      <w:szCs w:val="20"/>
    </w:rPr>
  </w:style>
  <w:style w:type="paragraph" w:styleId="4">
    <w:name w:val="annotation subject"/>
    <w:basedOn w:val="3"/>
    <w:next w:val="3"/>
    <w:link w:val="14"/>
    <w:semiHidden/>
    <w:unhideWhenUsed/>
    <w:uiPriority w:val="99"/>
    <w:pPr>
      <w:spacing w:after="160"/>
    </w:pPr>
    <w:rPr>
      <w:rFonts w:asciiTheme="minorHAnsi" w:hAnsiTheme="minorHAnsi" w:cstheme="minorBidi"/>
      <w:b/>
      <w:bCs/>
    </w:rPr>
  </w:style>
  <w:style w:type="paragraph" w:styleId="5">
    <w:name w:val="footer"/>
    <w:basedOn w:val="1"/>
    <w:link w:val="16"/>
    <w:unhideWhenUsed/>
    <w:uiPriority w:val="0"/>
    <w:pPr>
      <w:tabs>
        <w:tab w:val="center" w:pos="4680"/>
        <w:tab w:val="right" w:pos="9360"/>
      </w:tabs>
      <w:spacing w:after="0" w:line="240" w:lineRule="auto"/>
    </w:pPr>
  </w:style>
  <w:style w:type="paragraph" w:styleId="6">
    <w:name w:val="header"/>
    <w:basedOn w:val="1"/>
    <w:link w:val="15"/>
    <w:unhideWhenUsed/>
    <w:uiPriority w:val="0"/>
    <w:pPr>
      <w:tabs>
        <w:tab w:val="center" w:pos="4680"/>
        <w:tab w:val="right" w:pos="9360"/>
      </w:tabs>
      <w:spacing w:after="0" w:line="240" w:lineRule="auto"/>
    </w:pPr>
  </w:style>
  <w:style w:type="paragraph" w:styleId="7">
    <w:name w:val="HTML Preformatted"/>
    <w:basedOn w:val="1"/>
    <w:link w:val="17"/>
    <w:semiHidden/>
    <w:unhideWhenUsed/>
    <w:uiPriority w:val="99"/>
    <w:pPr>
      <w:spacing w:after="0" w:line="240" w:lineRule="auto"/>
    </w:pPr>
    <w:rPr>
      <w:rFonts w:ascii="Consolas" w:hAnsi="Consolas"/>
      <w:sz w:val="20"/>
      <w:szCs w:val="20"/>
    </w:rPr>
  </w:style>
  <w:style w:type="character" w:styleId="9">
    <w:name w:val="annotation reference"/>
    <w:basedOn w:val="8"/>
    <w:semiHidden/>
    <w:unhideWhenUsed/>
    <w:uiPriority w:val="99"/>
    <w:rPr>
      <w:sz w:val="16"/>
      <w:szCs w:val="16"/>
    </w:rPr>
  </w:style>
  <w:style w:type="character" w:styleId="10">
    <w:name w:val="Hyperlink"/>
    <w:basedOn w:val="8"/>
    <w:unhideWhenUsed/>
    <w:uiPriority w:val="99"/>
    <w:rPr>
      <w:color w:val="0563C1" w:themeColor="hyperlink"/>
      <w:u w:val="single"/>
    </w:rPr>
  </w:style>
  <w:style w:type="character" w:customStyle="1" w:styleId="12">
    <w:name w:val="Comment Text Char"/>
    <w:basedOn w:val="8"/>
    <w:link w:val="3"/>
    <w:semiHidden/>
    <w:uiPriority w:val="99"/>
    <w:rPr>
      <w:rFonts w:ascii="Calibri" w:hAnsi="Calibri" w:cs="Calibri"/>
      <w:sz w:val="20"/>
      <w:szCs w:val="20"/>
    </w:rPr>
  </w:style>
  <w:style w:type="character" w:customStyle="1" w:styleId="13">
    <w:name w:val="Balloon Text Char"/>
    <w:basedOn w:val="8"/>
    <w:link w:val="2"/>
    <w:semiHidden/>
    <w:uiPriority w:val="99"/>
    <w:rPr>
      <w:rFonts w:ascii="Segoe UI" w:hAnsi="Segoe UI" w:cs="Segoe UI"/>
      <w:sz w:val="18"/>
      <w:szCs w:val="18"/>
    </w:rPr>
  </w:style>
  <w:style w:type="character" w:customStyle="1" w:styleId="14">
    <w:name w:val="Comment Subject Char"/>
    <w:basedOn w:val="12"/>
    <w:link w:val="4"/>
    <w:semiHidden/>
    <w:uiPriority w:val="99"/>
    <w:rPr>
      <w:rFonts w:ascii="Calibri" w:hAnsi="Calibri" w:cs="Calibri"/>
      <w:b/>
      <w:bCs/>
      <w:sz w:val="20"/>
      <w:szCs w:val="20"/>
    </w:rPr>
  </w:style>
  <w:style w:type="character" w:customStyle="1" w:styleId="15">
    <w:name w:val="Header Char"/>
    <w:basedOn w:val="8"/>
    <w:link w:val="6"/>
    <w:uiPriority w:val="99"/>
  </w:style>
  <w:style w:type="character" w:customStyle="1" w:styleId="16">
    <w:name w:val="Footer Char"/>
    <w:basedOn w:val="8"/>
    <w:link w:val="5"/>
    <w:uiPriority w:val="0"/>
  </w:style>
  <w:style w:type="character" w:customStyle="1" w:styleId="17">
    <w:name w:val="HTML Preformatted Char"/>
    <w:basedOn w:val="8"/>
    <w:link w:val="7"/>
    <w:semiHidden/>
    <w:uiPriority w:val="99"/>
    <w:rPr>
      <w:rFonts w:ascii="Consolas" w:hAnsi="Consolas"/>
      <w:sz w:val="20"/>
      <w:szCs w:val="20"/>
    </w:rPr>
  </w:style>
  <w:style w:type="character" w:customStyle="1" w:styleId="18">
    <w:name w:val="tlid-translation"/>
    <w:basedOn w:val="8"/>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896</Words>
  <Characters>5199</Characters>
  <Lines>43</Lines>
  <Paragraphs>12</Paragraphs>
  <TotalTime>62</TotalTime>
  <ScaleCrop>false</ScaleCrop>
  <LinksUpToDate>false</LinksUpToDate>
  <CharactersWithSpaces>6083</CharactersWithSpaces>
  <Application>WPS Office_11.2.0.9070_F1E327BC-269C-435d-A152-05C5408002CA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2019-08-14T08:47:00Z</dcterms:created>
  <dc:creator>ANA-LUIZA-MONICA DOMNISORU</dc:creator>
  <cp:lastModifiedBy>claudia.tokacs</cp:lastModifiedBy>
  <cp:lastPrinted>2019-08-14T06:29:00Z</cp:lastPrinted>
  <dcterms:modified xsi:type="dcterms:W3CDTF">2020-02-10T07:41:08Z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ies>
</file>