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CE11" w14:textId="77777777" w:rsidR="00DC034C" w:rsidRPr="00581671" w:rsidRDefault="009E236D">
      <w:pPr>
        <w:spacing w:after="240" w:line="240" w:lineRule="auto"/>
        <w:rPr>
          <w:b/>
          <w:i/>
          <w:sz w:val="34"/>
          <w:szCs w:val="34"/>
          <w:lang w:val="ro-RO"/>
        </w:rPr>
      </w:pPr>
      <w:r w:rsidRPr="00581671">
        <w:rPr>
          <w:noProof/>
          <w:lang w:val="ro-RO"/>
        </w:rPr>
        <mc:AlternateContent>
          <mc:Choice Requires="wps">
            <w:drawing>
              <wp:anchor distT="4445" distB="0" distL="4445" distR="4445" simplePos="0" relativeHeight="251659264" behindDoc="0" locked="0" layoutInCell="0" allowOverlap="1" wp14:anchorId="554776E3" wp14:editId="31A8C0A7">
                <wp:simplePos x="0" y="0"/>
                <wp:positionH relativeFrom="margin">
                  <wp:posOffset>3120390</wp:posOffset>
                </wp:positionH>
                <wp:positionV relativeFrom="topMargin">
                  <wp:posOffset>1555750</wp:posOffset>
                </wp:positionV>
                <wp:extent cx="3597275" cy="530225"/>
                <wp:effectExtent l="0" t="0" r="0" b="0"/>
                <wp:wrapNone/>
                <wp:docPr id="6" name="Rectangle 6"/>
                <wp:cNvGraphicFramePr/>
                <a:graphic xmlns:a="http://schemas.openxmlformats.org/drawingml/2006/main">
                  <a:graphicData uri="http://schemas.microsoft.com/office/word/2010/wordprocessingShape">
                    <wps:wsp>
                      <wps:cNvSpPr/>
                      <wps:spPr>
                        <a:xfrm>
                          <a:off x="0" y="0"/>
                          <a:ext cx="3597275" cy="530225"/>
                        </a:xfrm>
                        <a:prstGeom prst="rect">
                          <a:avLst/>
                        </a:prstGeom>
                        <a:noFill/>
                        <a:ln w="9525">
                          <a:noFill/>
                        </a:ln>
                      </wps:spPr>
                      <wps:style>
                        <a:lnRef idx="0">
                          <a:scrgbClr r="0" g="0" b="0"/>
                        </a:lnRef>
                        <a:fillRef idx="0">
                          <a:scrgbClr r="0" g="0" b="0"/>
                        </a:fillRef>
                        <a:effectRef idx="0">
                          <a:scrgbClr r="0" g="0" b="0"/>
                        </a:effectRef>
                        <a:fontRef idx="minor"/>
                      </wps:style>
                      <wps:txbx>
                        <w:txbxContent>
                          <w:p w14:paraId="32E7FE38" w14:textId="7F95D5BA" w:rsidR="00DC034C" w:rsidRDefault="009E236D">
                            <w:pPr>
                              <w:pStyle w:val="FrameContents"/>
                              <w:spacing w:after="0"/>
                              <w:jc w:val="right"/>
                              <w:rPr>
                                <w:b/>
                                <w:bCs/>
                                <w:color w:val="000000" w:themeColor="text1"/>
                                <w:sz w:val="24"/>
                                <w:szCs w:val="24"/>
                                <w:lang w:val="ro-RO"/>
                              </w:rPr>
                            </w:pPr>
                            <w:r>
                              <w:rPr>
                                <w:b/>
                                <w:bCs/>
                                <w:color w:val="000000" w:themeColor="text1"/>
                                <w:sz w:val="24"/>
                                <w:szCs w:val="24"/>
                                <w:lang w:val="ro-RO"/>
                              </w:rPr>
                              <w:t>Bu</w:t>
                            </w:r>
                            <w:r w:rsidR="007E49D3">
                              <w:rPr>
                                <w:b/>
                                <w:bCs/>
                                <w:color w:val="000000" w:themeColor="text1"/>
                                <w:sz w:val="24"/>
                                <w:szCs w:val="24"/>
                                <w:lang w:val="ro-RO"/>
                              </w:rPr>
                              <w:t>curești</w:t>
                            </w:r>
                          </w:p>
                          <w:p w14:paraId="09106B29" w14:textId="0949C9CE" w:rsidR="00DC034C" w:rsidRDefault="007E49D3">
                            <w:pPr>
                              <w:pStyle w:val="FrameContents"/>
                              <w:spacing w:after="0"/>
                              <w:jc w:val="right"/>
                              <w:rPr>
                                <w:color w:val="000000" w:themeColor="text1"/>
                                <w:sz w:val="24"/>
                                <w:szCs w:val="24"/>
                                <w:lang w:val="ro-RO"/>
                              </w:rPr>
                            </w:pPr>
                            <w:r>
                              <w:rPr>
                                <w:b/>
                                <w:bCs/>
                                <w:color w:val="000000" w:themeColor="text1"/>
                                <w:sz w:val="24"/>
                                <w:szCs w:val="24"/>
                                <w:lang w:val="ro-RO"/>
                              </w:rPr>
                              <w:t>Comunicat de presă</w:t>
                            </w:r>
                            <w:r w:rsidR="009E236D">
                              <w:rPr>
                                <w:b/>
                                <w:bCs/>
                                <w:color w:val="000000" w:themeColor="text1"/>
                                <w:sz w:val="24"/>
                                <w:szCs w:val="24"/>
                                <w:lang w:val="ro-RO"/>
                              </w:rPr>
                              <w:t>:</w:t>
                            </w:r>
                            <w:r w:rsidR="009E236D">
                              <w:rPr>
                                <w:color w:val="000000" w:themeColor="text1"/>
                                <w:sz w:val="24"/>
                                <w:szCs w:val="24"/>
                              </w:rPr>
                              <w:t xml:space="preserve"> </w:t>
                            </w:r>
                            <w:r w:rsidR="00972574">
                              <w:rPr>
                                <w:color w:val="000000" w:themeColor="text1"/>
                                <w:sz w:val="24"/>
                                <w:szCs w:val="24"/>
                              </w:rPr>
                              <w:t>1</w:t>
                            </w:r>
                            <w:r>
                              <w:rPr>
                                <w:color w:val="000000" w:themeColor="text1"/>
                                <w:sz w:val="24"/>
                                <w:szCs w:val="24"/>
                              </w:rPr>
                              <w:t>2</w:t>
                            </w:r>
                            <w:r w:rsidR="00972574">
                              <w:rPr>
                                <w:color w:val="000000" w:themeColor="text1"/>
                                <w:sz w:val="24"/>
                                <w:szCs w:val="24"/>
                              </w:rPr>
                              <w:t xml:space="preserve"> August</w:t>
                            </w:r>
                            <w:r w:rsidR="009E236D">
                              <w:rPr>
                                <w:color w:val="000000" w:themeColor="text1"/>
                                <w:sz w:val="24"/>
                                <w:szCs w:val="24"/>
                                <w:lang w:val="ro-RO"/>
                              </w:rPr>
                              <w:t xml:space="preserve"> </w:t>
                            </w:r>
                            <w:r w:rsidR="009E236D">
                              <w:rPr>
                                <w:color w:val="000000" w:themeColor="text1"/>
                                <w:sz w:val="24"/>
                                <w:szCs w:val="24"/>
                              </w:rPr>
                              <w:t>2022</w:t>
                            </w:r>
                          </w:p>
                        </w:txbxContent>
                      </wps:txbx>
                      <wps:bodyPr anchor="t">
                        <a:noAutofit/>
                      </wps:bodyPr>
                    </wps:wsp>
                  </a:graphicData>
                </a:graphic>
              </wp:anchor>
            </w:drawing>
          </mc:Choice>
          <mc:Fallback>
            <w:pict>
              <v:rect w14:anchorId="554776E3" id="Rectangle 6" o:spid="_x0000_s1026" style="position:absolute;margin-left:245.7pt;margin-top:122.5pt;width:283.25pt;height:41.75pt;z-index:251659264;visibility:visible;mso-wrap-style:square;mso-wrap-distance-left:.35pt;mso-wrap-distance-top:.35pt;mso-wrap-distance-right:.35pt;mso-wrap-distance-bottom:0;mso-position-horizontal:absolute;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" o:allowincell="f" filled="f" stroked="f">
                <v:textbox>
                  <w:txbxContent>
                    <w:p w14:paraId="32E7FE38" w14:textId="7F95D5BA" w:rsidR="00DC034C" w:rsidRDefault="009E236D">
                      <w:pPr>
                        <w:pStyle w:val="FrameContents"/>
                        <w:spacing w:after="0"/>
                        <w:jc w:val="right"/>
                        <w:rPr>
                          <w:b/>
                          <w:bCs/>
                          <w:color w:val="000000" w:themeColor="text1"/>
                          <w:sz w:val="24"/>
                          <w:szCs w:val="24"/>
                          <w:lang w:val="ro-RO"/>
                        </w:rPr>
                      </w:pPr>
                      <w:r>
                        <w:rPr>
                          <w:b/>
                          <w:bCs/>
                          <w:color w:val="000000" w:themeColor="text1"/>
                          <w:sz w:val="24"/>
                          <w:szCs w:val="24"/>
                          <w:lang w:val="ro-RO"/>
                        </w:rPr>
                        <w:t>Bu</w:t>
                      </w:r>
                      <w:r w:rsidR="007E49D3">
                        <w:rPr>
                          <w:b/>
                          <w:bCs/>
                          <w:color w:val="000000" w:themeColor="text1"/>
                          <w:sz w:val="24"/>
                          <w:szCs w:val="24"/>
                          <w:lang w:val="ro-RO"/>
                        </w:rPr>
                        <w:t>curești</w:t>
                      </w:r>
                    </w:p>
                    <w:p w14:paraId="09106B29" w14:textId="0949C9CE" w:rsidR="00DC034C" w:rsidRDefault="007E49D3">
                      <w:pPr>
                        <w:pStyle w:val="FrameContents"/>
                        <w:spacing w:after="0"/>
                        <w:jc w:val="right"/>
                        <w:rPr>
                          <w:color w:val="000000" w:themeColor="text1"/>
                          <w:sz w:val="24"/>
                          <w:szCs w:val="24"/>
                          <w:lang w:val="ro-RO"/>
                        </w:rPr>
                      </w:pPr>
                      <w:r>
                        <w:rPr>
                          <w:b/>
                          <w:bCs/>
                          <w:color w:val="000000" w:themeColor="text1"/>
                          <w:sz w:val="24"/>
                          <w:szCs w:val="24"/>
                          <w:lang w:val="ro-RO"/>
                        </w:rPr>
                        <w:t>Comunicat de presă</w:t>
                      </w:r>
                      <w:r w:rsidR="009E236D">
                        <w:rPr>
                          <w:b/>
                          <w:bCs/>
                          <w:color w:val="000000" w:themeColor="text1"/>
                          <w:sz w:val="24"/>
                          <w:szCs w:val="24"/>
                          <w:lang w:val="ro-RO"/>
                        </w:rPr>
                        <w:t>:</w:t>
                      </w:r>
                      <w:r w:rsidR="009E236D">
                        <w:rPr>
                          <w:color w:val="000000" w:themeColor="text1"/>
                          <w:sz w:val="24"/>
                          <w:szCs w:val="24"/>
                        </w:rPr>
                        <w:t xml:space="preserve"> </w:t>
                      </w:r>
                      <w:r w:rsidR="00972574">
                        <w:rPr>
                          <w:color w:val="000000" w:themeColor="text1"/>
                          <w:sz w:val="24"/>
                          <w:szCs w:val="24"/>
                        </w:rPr>
                        <w:t>1</w:t>
                      </w:r>
                      <w:r>
                        <w:rPr>
                          <w:color w:val="000000" w:themeColor="text1"/>
                          <w:sz w:val="24"/>
                          <w:szCs w:val="24"/>
                        </w:rPr>
                        <w:t>2</w:t>
                      </w:r>
                      <w:r w:rsidR="00972574">
                        <w:rPr>
                          <w:color w:val="000000" w:themeColor="text1"/>
                          <w:sz w:val="24"/>
                          <w:szCs w:val="24"/>
                        </w:rPr>
                        <w:t xml:space="preserve"> August</w:t>
                      </w:r>
                      <w:r w:rsidR="009E236D">
                        <w:rPr>
                          <w:color w:val="000000" w:themeColor="text1"/>
                          <w:sz w:val="24"/>
                          <w:szCs w:val="24"/>
                          <w:lang w:val="ro-RO"/>
                        </w:rPr>
                        <w:t xml:space="preserve"> </w:t>
                      </w:r>
                      <w:r w:rsidR="009E236D">
                        <w:rPr>
                          <w:color w:val="000000" w:themeColor="text1"/>
                          <w:sz w:val="24"/>
                          <w:szCs w:val="24"/>
                        </w:rPr>
                        <w:t>2022</w:t>
                      </w:r>
                    </w:p>
                  </w:txbxContent>
                </v:textbox>
                <w10:wrap anchorx="margin" anchory="margin"/>
              </v:rect>
            </w:pict>
          </mc:Fallback>
        </mc:AlternateContent>
      </w:r>
    </w:p>
    <w:p w14:paraId="3D7252A2" w14:textId="408FAF69" w:rsidR="00B44C39" w:rsidRPr="00581671" w:rsidRDefault="00B44C39">
      <w:pPr>
        <w:spacing w:after="240" w:line="240" w:lineRule="auto"/>
        <w:rPr>
          <w:b/>
          <w:i/>
          <w:color w:val="002060"/>
          <w:sz w:val="28"/>
          <w:szCs w:val="28"/>
          <w:lang w:val="ro-RO"/>
        </w:rPr>
      </w:pPr>
      <w:r w:rsidRPr="00581671">
        <w:rPr>
          <w:b/>
          <w:i/>
          <w:color w:val="002060"/>
          <w:sz w:val="28"/>
          <w:szCs w:val="28"/>
          <w:lang w:val="ro-RO"/>
        </w:rPr>
        <w:t>Digi Communications N.V. raportează</w:t>
      </w:r>
      <w:r w:rsidR="00B91B0F">
        <w:rPr>
          <w:b/>
          <w:i/>
          <w:color w:val="002060"/>
          <w:sz w:val="28"/>
          <w:szCs w:val="28"/>
          <w:lang w:val="ro-RO"/>
        </w:rPr>
        <w:t xml:space="preserve"> o</w:t>
      </w:r>
      <w:r w:rsidRPr="00581671">
        <w:rPr>
          <w:b/>
          <w:i/>
          <w:color w:val="002060"/>
          <w:sz w:val="28"/>
          <w:szCs w:val="28"/>
          <w:lang w:val="ro-RO"/>
        </w:rPr>
        <w:t xml:space="preserve"> creștere robustă a bazei de utilizatori și a veniturilor în al doilea trimestru al anului 2022</w:t>
      </w:r>
    </w:p>
    <w:p w14:paraId="29BD5F19" w14:textId="1B6A0894" w:rsidR="0006221F" w:rsidRPr="00581671" w:rsidRDefault="00B44C39" w:rsidP="005051E7">
      <w:pPr>
        <w:pStyle w:val="ListParagraph"/>
        <w:numPr>
          <w:ilvl w:val="0"/>
          <w:numId w:val="1"/>
        </w:numPr>
        <w:ind w:left="360"/>
        <w:jc w:val="both"/>
        <w:rPr>
          <w:lang w:val="ro-RO"/>
        </w:rPr>
      </w:pPr>
      <w:r w:rsidRPr="00581671">
        <w:rPr>
          <w:lang w:val="ro-RO"/>
        </w:rPr>
        <w:t>Majorare</w:t>
      </w:r>
      <w:r w:rsidR="00F53EC9" w:rsidRPr="00581671">
        <w:rPr>
          <w:lang w:val="ro-RO"/>
        </w:rPr>
        <w:t>a</w:t>
      </w:r>
      <w:r w:rsidRPr="00581671">
        <w:rPr>
          <w:lang w:val="ro-RO"/>
        </w:rPr>
        <w:t xml:space="preserve"> cu 19,1% a veniturilor în T2 </w:t>
      </w:r>
      <w:r w:rsidR="00F53EC9" w:rsidRPr="00581671">
        <w:rPr>
          <w:lang w:val="ro-RO"/>
        </w:rPr>
        <w:t>se datoreză</w:t>
      </w:r>
      <w:r w:rsidRPr="00581671">
        <w:rPr>
          <w:lang w:val="ro-RO"/>
        </w:rPr>
        <w:t xml:space="preserve"> crește</w:t>
      </w:r>
      <w:r w:rsidR="00F53EC9" w:rsidRPr="00581671">
        <w:rPr>
          <w:lang w:val="ro-RO"/>
        </w:rPr>
        <w:t>rii</w:t>
      </w:r>
      <w:r w:rsidRPr="00581671">
        <w:rPr>
          <w:lang w:val="ro-RO"/>
        </w:rPr>
        <w:t xml:space="preserve"> continu</w:t>
      </w:r>
      <w:r w:rsidR="00F53EC9" w:rsidRPr="00581671">
        <w:rPr>
          <w:lang w:val="ro-RO"/>
        </w:rPr>
        <w:t>e</w:t>
      </w:r>
      <w:r w:rsidRPr="00581671">
        <w:rPr>
          <w:lang w:val="ro-RO"/>
        </w:rPr>
        <w:t xml:space="preserve"> înregistrate la nivel de Grup</w:t>
      </w:r>
      <w:r w:rsidR="00424B14" w:rsidRPr="00581671">
        <w:rPr>
          <w:lang w:val="ro-RO"/>
        </w:rPr>
        <w:t>.</w:t>
      </w:r>
    </w:p>
    <w:p w14:paraId="0BE50E18" w14:textId="0363DBB2" w:rsidR="00640A8E" w:rsidRPr="00581671" w:rsidRDefault="00640A8E" w:rsidP="00640A8E">
      <w:pPr>
        <w:pStyle w:val="ListParagraph"/>
        <w:numPr>
          <w:ilvl w:val="0"/>
          <w:numId w:val="1"/>
        </w:numPr>
        <w:ind w:left="360"/>
        <w:jc w:val="both"/>
        <w:rPr>
          <w:lang w:val="ro-RO"/>
        </w:rPr>
      </w:pPr>
      <w:r w:rsidRPr="00581671">
        <w:rPr>
          <w:lang w:val="ro-RO"/>
        </w:rPr>
        <w:t>Unitățile generatoare de venit</w:t>
      </w:r>
      <w:r w:rsidR="00F53EC9" w:rsidRPr="00581671">
        <w:rPr>
          <w:lang w:val="ro-RO"/>
        </w:rPr>
        <w:t>uri</w:t>
      </w:r>
      <w:r w:rsidR="00DE1A24" w:rsidRPr="00581671">
        <w:rPr>
          <w:lang w:val="ro-RO"/>
        </w:rPr>
        <w:t xml:space="preserve"> (RGU)</w:t>
      </w:r>
      <w:r w:rsidRPr="00581671">
        <w:rPr>
          <w:lang w:val="ro-RO"/>
        </w:rPr>
        <w:t xml:space="preserve"> și-au menținut cursul ascendent și au crescut cu 15,3% de la an la an, până la 19</w:t>
      </w:r>
      <w:r w:rsidR="00D86E02" w:rsidRPr="00581671">
        <w:rPr>
          <w:lang w:val="ro-RO"/>
        </w:rPr>
        <w:t>.</w:t>
      </w:r>
      <w:r w:rsidRPr="00581671">
        <w:rPr>
          <w:lang w:val="ro-RO"/>
        </w:rPr>
        <w:t>4 milioane.</w:t>
      </w:r>
    </w:p>
    <w:p w14:paraId="08C08594" w14:textId="50369710" w:rsidR="00640A8E" w:rsidRPr="00581671" w:rsidRDefault="00DE1A24" w:rsidP="00640A8E">
      <w:pPr>
        <w:pStyle w:val="ListParagraph"/>
        <w:numPr>
          <w:ilvl w:val="0"/>
          <w:numId w:val="1"/>
        </w:numPr>
        <w:ind w:left="360"/>
        <w:jc w:val="both"/>
        <w:rPr>
          <w:lang w:val="ro-RO"/>
        </w:rPr>
      </w:pPr>
      <w:r w:rsidRPr="00581671">
        <w:rPr>
          <w:lang w:val="ro-RO"/>
        </w:rPr>
        <w:t>Numărul u</w:t>
      </w:r>
      <w:r w:rsidR="005051E7" w:rsidRPr="00581671">
        <w:rPr>
          <w:lang w:val="ro-RO"/>
        </w:rPr>
        <w:t>tilizatori</w:t>
      </w:r>
      <w:r w:rsidRPr="00581671">
        <w:rPr>
          <w:lang w:val="ro-RO"/>
        </w:rPr>
        <w:t>lor</w:t>
      </w:r>
      <w:r w:rsidR="00640A8E" w:rsidRPr="00581671">
        <w:rPr>
          <w:lang w:val="ro-RO"/>
        </w:rPr>
        <w:t xml:space="preserve"> de telefonie mobilă</w:t>
      </w:r>
      <w:r w:rsidR="005051E7" w:rsidRPr="00581671">
        <w:rPr>
          <w:lang w:val="ro-RO"/>
        </w:rPr>
        <w:t xml:space="preserve"> din România a</w:t>
      </w:r>
      <w:r w:rsidRPr="00581671">
        <w:rPr>
          <w:lang w:val="ro-RO"/>
        </w:rPr>
        <w:t xml:space="preserve"> atins</w:t>
      </w:r>
      <w:r w:rsidR="005051E7" w:rsidRPr="00581671">
        <w:rPr>
          <w:lang w:val="ro-RO"/>
        </w:rPr>
        <w:t xml:space="preserve"> 4</w:t>
      </w:r>
      <w:r w:rsidR="00D86E02" w:rsidRPr="00581671">
        <w:rPr>
          <w:lang w:val="ro-RO"/>
        </w:rPr>
        <w:t>.</w:t>
      </w:r>
      <w:r w:rsidR="005051E7" w:rsidRPr="00581671">
        <w:rPr>
          <w:lang w:val="ro-RO"/>
        </w:rPr>
        <w:t>5 milioane</w:t>
      </w:r>
      <w:r w:rsidRPr="00581671">
        <w:rPr>
          <w:lang w:val="ro-RO"/>
        </w:rPr>
        <w:t xml:space="preserve"> și</w:t>
      </w:r>
      <w:r w:rsidR="00D86E02" w:rsidRPr="00581671">
        <w:rPr>
          <w:lang w:val="ro-RO"/>
        </w:rPr>
        <w:t xml:space="preserve"> a</w:t>
      </w:r>
      <w:r w:rsidRPr="00581671">
        <w:rPr>
          <w:lang w:val="ro-RO"/>
        </w:rPr>
        <w:t xml:space="preserve"> înregistr</w:t>
      </w:r>
      <w:r w:rsidR="00D86E02" w:rsidRPr="00581671">
        <w:rPr>
          <w:lang w:val="ro-RO"/>
        </w:rPr>
        <w:t>at</w:t>
      </w:r>
      <w:r w:rsidRPr="00581671">
        <w:rPr>
          <w:lang w:val="ro-RO"/>
        </w:rPr>
        <w:t xml:space="preserve"> un progress </w:t>
      </w:r>
      <w:r w:rsidR="005051E7" w:rsidRPr="00581671">
        <w:rPr>
          <w:lang w:val="ro-RO"/>
        </w:rPr>
        <w:t>de 15,8%.</w:t>
      </w:r>
    </w:p>
    <w:p w14:paraId="6654B334" w14:textId="474ADCCE" w:rsidR="00640A8E" w:rsidRPr="00581671" w:rsidRDefault="00640A8E" w:rsidP="00640A8E">
      <w:pPr>
        <w:pStyle w:val="ListParagraph"/>
        <w:numPr>
          <w:ilvl w:val="0"/>
          <w:numId w:val="1"/>
        </w:numPr>
        <w:ind w:left="360"/>
        <w:jc w:val="both"/>
        <w:rPr>
          <w:lang w:val="ro-RO"/>
        </w:rPr>
      </w:pPr>
      <w:r w:rsidRPr="00581671">
        <w:rPr>
          <w:lang w:val="ro-RO"/>
        </w:rPr>
        <w:t xml:space="preserve">Veniturile operațiunilor din Spania au crescut cu 39,2% </w:t>
      </w:r>
      <w:r w:rsidR="00DE1A24" w:rsidRPr="00581671">
        <w:rPr>
          <w:lang w:val="ro-RO"/>
        </w:rPr>
        <w:t>față de anul anterior</w:t>
      </w:r>
      <w:r w:rsidRPr="00581671">
        <w:rPr>
          <w:lang w:val="ro-RO"/>
        </w:rPr>
        <w:t>, până la 118</w:t>
      </w:r>
      <w:r w:rsidR="007E49D3" w:rsidRPr="00581671">
        <w:rPr>
          <w:lang w:val="ro-RO"/>
        </w:rPr>
        <w:t>.</w:t>
      </w:r>
      <w:r w:rsidRPr="00581671">
        <w:rPr>
          <w:lang w:val="ro-RO"/>
        </w:rPr>
        <w:t>3 milioane de Euro.</w:t>
      </w:r>
    </w:p>
    <w:p w14:paraId="7152121E" w14:textId="65CFFF89" w:rsidR="00424B14" w:rsidRPr="00581671" w:rsidRDefault="00424B14" w:rsidP="00640A8E">
      <w:pPr>
        <w:pStyle w:val="ListParagraph"/>
        <w:numPr>
          <w:ilvl w:val="0"/>
          <w:numId w:val="1"/>
        </w:numPr>
        <w:ind w:left="360"/>
        <w:jc w:val="both"/>
        <w:rPr>
          <w:lang w:val="ro-RO"/>
        </w:rPr>
      </w:pPr>
      <w:r w:rsidRPr="00581671">
        <w:rPr>
          <w:lang w:val="ro-RO"/>
        </w:rPr>
        <w:t xml:space="preserve">Grupul și-a extins </w:t>
      </w:r>
      <w:r w:rsidR="00DE1A24" w:rsidRPr="00581671">
        <w:rPr>
          <w:lang w:val="ro-RO"/>
        </w:rPr>
        <w:t>operațiunile</w:t>
      </w:r>
      <w:r w:rsidRPr="00581671">
        <w:rPr>
          <w:lang w:val="ro-RO"/>
        </w:rPr>
        <w:t xml:space="preserve"> în </w:t>
      </w:r>
      <w:r w:rsidR="00640A8E" w:rsidRPr="00581671">
        <w:rPr>
          <w:lang w:val="ro-RO"/>
        </w:rPr>
        <w:t>Euro</w:t>
      </w:r>
      <w:r w:rsidRPr="00581671">
        <w:rPr>
          <w:lang w:val="ro-RO"/>
        </w:rPr>
        <w:t>pa de Vest prin intrarea pe piața belgiană.</w:t>
      </w:r>
    </w:p>
    <w:p w14:paraId="32B0B619" w14:textId="0C7ECE50" w:rsidR="00E3360F" w:rsidRPr="00581671" w:rsidRDefault="00E3360F" w:rsidP="00E3360F">
      <w:pPr>
        <w:spacing w:after="120"/>
        <w:jc w:val="both"/>
        <w:rPr>
          <w:b/>
          <w:bCs/>
          <w:lang w:val="ro-RO"/>
        </w:rPr>
      </w:pPr>
      <w:r w:rsidRPr="00581671">
        <w:rPr>
          <w:b/>
          <w:bCs/>
          <w:lang w:val="ro-RO"/>
        </w:rPr>
        <w:t xml:space="preserve">Digi Communications N.V. raportează o accelerare a performanțelor financiare și operaționale în al doilea trimestru, în comparație cu aceeași perioadă a anului trecut. Veniturile consolidate ale Grupului au crescut cu 19,1% în </w:t>
      </w:r>
      <w:r w:rsidR="00F53EC9" w:rsidRPr="00581671">
        <w:rPr>
          <w:b/>
          <w:bCs/>
          <w:lang w:val="ro-RO"/>
        </w:rPr>
        <w:t xml:space="preserve">T2 </w:t>
      </w:r>
      <w:r w:rsidRPr="00581671">
        <w:rPr>
          <w:b/>
          <w:bCs/>
          <w:lang w:val="ro-RO"/>
        </w:rPr>
        <w:t>2022, ajungând la 370</w:t>
      </w:r>
      <w:r w:rsidR="007E49D3" w:rsidRPr="00581671">
        <w:rPr>
          <w:b/>
          <w:bCs/>
          <w:lang w:val="ro-RO"/>
        </w:rPr>
        <w:t>.</w:t>
      </w:r>
      <w:r w:rsidRPr="00581671">
        <w:rPr>
          <w:b/>
          <w:bCs/>
          <w:lang w:val="ro-RO"/>
        </w:rPr>
        <w:t xml:space="preserve">4 milioane de </w:t>
      </w:r>
      <w:r w:rsidR="00640A8E" w:rsidRPr="00581671">
        <w:rPr>
          <w:b/>
          <w:bCs/>
          <w:lang w:val="ro-RO"/>
        </w:rPr>
        <w:t>Euro</w:t>
      </w:r>
      <w:r w:rsidRPr="00581671">
        <w:rPr>
          <w:b/>
          <w:bCs/>
          <w:lang w:val="ro-RO"/>
        </w:rPr>
        <w:t>. EBITDA ajustată (inclusiv IFRS 16) a marcat o creștere de 6,8% de la an la an, până la 120</w:t>
      </w:r>
      <w:r w:rsidR="007E49D3" w:rsidRPr="00581671">
        <w:rPr>
          <w:b/>
          <w:bCs/>
          <w:lang w:val="ro-RO"/>
        </w:rPr>
        <w:t>.</w:t>
      </w:r>
      <w:r w:rsidRPr="00581671">
        <w:rPr>
          <w:b/>
          <w:bCs/>
          <w:lang w:val="ro-RO"/>
        </w:rPr>
        <w:t xml:space="preserve">5 milioane de </w:t>
      </w:r>
      <w:r w:rsidR="00640A8E" w:rsidRPr="00581671">
        <w:rPr>
          <w:b/>
          <w:bCs/>
          <w:lang w:val="ro-RO"/>
        </w:rPr>
        <w:t>Euro</w:t>
      </w:r>
      <w:r w:rsidRPr="00581671">
        <w:rPr>
          <w:b/>
          <w:bCs/>
          <w:lang w:val="ro-RO"/>
        </w:rPr>
        <w:t xml:space="preserve">. EBITDA ajustată (excluzând IFRS 16) a </w:t>
      </w:r>
      <w:r w:rsidR="00F53EC9" w:rsidRPr="00581671">
        <w:rPr>
          <w:b/>
          <w:bCs/>
          <w:lang w:val="ro-RO"/>
        </w:rPr>
        <w:t>progresat</w:t>
      </w:r>
      <w:r w:rsidRPr="00581671">
        <w:rPr>
          <w:b/>
          <w:bCs/>
          <w:lang w:val="ro-RO"/>
        </w:rPr>
        <w:t xml:space="preserve"> cu 10,4%, până la 100</w:t>
      </w:r>
      <w:r w:rsidR="007E49D3" w:rsidRPr="00581671">
        <w:rPr>
          <w:b/>
          <w:bCs/>
          <w:lang w:val="ro-RO"/>
        </w:rPr>
        <w:t>.</w:t>
      </w:r>
      <w:r w:rsidRPr="00581671">
        <w:rPr>
          <w:b/>
          <w:bCs/>
          <w:lang w:val="ro-RO"/>
        </w:rPr>
        <w:t xml:space="preserve">9 milioane de </w:t>
      </w:r>
      <w:r w:rsidR="00640A8E" w:rsidRPr="00581671">
        <w:rPr>
          <w:b/>
          <w:bCs/>
          <w:lang w:val="ro-RO"/>
        </w:rPr>
        <w:t>Euro</w:t>
      </w:r>
      <w:r w:rsidR="00432AFC">
        <w:rPr>
          <w:rStyle w:val="FootnoteReference"/>
          <w:b/>
          <w:bCs/>
          <w:lang w:val="ro-RO"/>
        </w:rPr>
        <w:footnoteReference w:id="1"/>
      </w:r>
      <w:r w:rsidRPr="00581671">
        <w:rPr>
          <w:b/>
          <w:bCs/>
          <w:lang w:val="ro-RO"/>
        </w:rPr>
        <w:t xml:space="preserve">.  </w:t>
      </w:r>
    </w:p>
    <w:p w14:paraId="512DB7D5" w14:textId="5CA8C4C2" w:rsidR="007A5423" w:rsidRPr="00581671" w:rsidRDefault="007A5423" w:rsidP="007A5423">
      <w:pPr>
        <w:spacing w:after="120"/>
        <w:jc w:val="both"/>
        <w:rPr>
          <w:lang w:val="ro-RO"/>
        </w:rPr>
      </w:pPr>
      <w:r w:rsidRPr="00581671">
        <w:rPr>
          <w:lang w:val="ro-RO"/>
        </w:rPr>
        <w:t xml:space="preserve">În al doilea trimestru al acestui an, </w:t>
      </w:r>
      <w:r w:rsidR="00DE1A24" w:rsidRPr="00581671">
        <w:rPr>
          <w:lang w:val="ro-RO"/>
        </w:rPr>
        <w:t xml:space="preserve">Grupul </w:t>
      </w:r>
      <w:r w:rsidRPr="00581671">
        <w:rPr>
          <w:lang w:val="ro-RO"/>
        </w:rPr>
        <w:t>DIGI a menținut traiectoria de creștere a bazei de utilizatori,</w:t>
      </w:r>
      <w:r w:rsidR="00F53EC9" w:rsidRPr="00581671">
        <w:rPr>
          <w:lang w:val="ro-RO"/>
        </w:rPr>
        <w:t xml:space="preserve"> și a atins </w:t>
      </w:r>
      <w:r w:rsidR="00DE1A24" w:rsidRPr="00581671">
        <w:rPr>
          <w:lang w:val="ro-RO"/>
        </w:rPr>
        <w:t xml:space="preserve">pragul de </w:t>
      </w:r>
      <w:r w:rsidRPr="00581671">
        <w:rPr>
          <w:lang w:val="ro-RO"/>
        </w:rPr>
        <w:t>19</w:t>
      </w:r>
      <w:r w:rsidR="007E49D3" w:rsidRPr="00581671">
        <w:rPr>
          <w:lang w:val="ro-RO"/>
        </w:rPr>
        <w:t>.</w:t>
      </w:r>
      <w:r w:rsidRPr="00581671">
        <w:rPr>
          <w:lang w:val="ro-RO"/>
        </w:rPr>
        <w:t>4 milioane de RGU (+</w:t>
      </w:r>
      <w:r w:rsidR="007E49D3" w:rsidRPr="00581671">
        <w:rPr>
          <w:lang w:val="ro-RO"/>
        </w:rPr>
        <w:t>2.</w:t>
      </w:r>
      <w:r w:rsidRPr="00581671">
        <w:rPr>
          <w:lang w:val="ro-RO"/>
        </w:rPr>
        <w:t xml:space="preserve">6 milioane de unități), </w:t>
      </w:r>
      <w:r w:rsidR="00F53EC9" w:rsidRPr="00581671">
        <w:rPr>
          <w:lang w:val="ro-RO"/>
        </w:rPr>
        <w:t xml:space="preserve">prin </w:t>
      </w:r>
      <w:r w:rsidR="009C3C0E" w:rsidRPr="00581671">
        <w:rPr>
          <w:lang w:val="ro-RO"/>
        </w:rPr>
        <w:t>oferirea</w:t>
      </w:r>
      <w:r w:rsidR="00F53EC9" w:rsidRPr="00581671">
        <w:rPr>
          <w:lang w:val="ro-RO"/>
        </w:rPr>
        <w:t xml:space="preserve"> de </w:t>
      </w:r>
      <w:r w:rsidRPr="00581671">
        <w:rPr>
          <w:lang w:val="ro-RO"/>
        </w:rPr>
        <w:t>servicii performante și versatile clienților săi rezidențiali și</w:t>
      </w:r>
      <w:r w:rsidR="009C3C0E" w:rsidRPr="00581671">
        <w:rPr>
          <w:lang w:val="ro-RO"/>
        </w:rPr>
        <w:t xml:space="preserve"> corporate</w:t>
      </w:r>
      <w:r w:rsidRPr="00581671">
        <w:rPr>
          <w:lang w:val="ro-RO"/>
        </w:rPr>
        <w:t xml:space="preserve">. </w:t>
      </w:r>
    </w:p>
    <w:p w14:paraId="006EB73A" w14:textId="4A0AEA05" w:rsidR="007A5423" w:rsidRPr="00581671" w:rsidRDefault="007A5423" w:rsidP="007A5423">
      <w:pPr>
        <w:spacing w:after="120"/>
        <w:jc w:val="both"/>
        <w:rPr>
          <w:lang w:val="ro-RO"/>
        </w:rPr>
      </w:pPr>
      <w:r w:rsidRPr="00581671">
        <w:rPr>
          <w:lang w:val="ro-RO"/>
        </w:rPr>
        <w:t>Operațiunile din România au înregistrat rezultate solide, atingând 14</w:t>
      </w:r>
      <w:r w:rsidR="007E49D3" w:rsidRPr="00581671">
        <w:rPr>
          <w:lang w:val="ro-RO"/>
        </w:rPr>
        <w:t>.</w:t>
      </w:r>
      <w:r w:rsidRPr="00581671">
        <w:rPr>
          <w:lang w:val="ro-RO"/>
        </w:rPr>
        <w:t xml:space="preserve">7 milioane RGU, </w:t>
      </w:r>
      <w:r w:rsidR="007E49D3" w:rsidRPr="00581671">
        <w:rPr>
          <w:lang w:val="ro-RO"/>
        </w:rPr>
        <w:t xml:space="preserve">în creștere cu </w:t>
      </w:r>
      <w:r w:rsidRPr="00581671">
        <w:rPr>
          <w:lang w:val="ro-RO"/>
        </w:rPr>
        <w:t xml:space="preserve">9,6% de la an la an, cu o contribuție remarcabilă </w:t>
      </w:r>
      <w:r w:rsidR="009C3C0E" w:rsidRPr="00581671">
        <w:rPr>
          <w:lang w:val="ro-RO"/>
        </w:rPr>
        <w:t xml:space="preserve">pe segmental </w:t>
      </w:r>
      <w:r w:rsidRPr="00581671">
        <w:rPr>
          <w:lang w:val="ro-RO"/>
        </w:rPr>
        <w:t xml:space="preserve">serviciilor mobile și a celor fixe. </w:t>
      </w:r>
      <w:r w:rsidR="009C3C0E" w:rsidRPr="00581671">
        <w:rPr>
          <w:lang w:val="ro-RO"/>
        </w:rPr>
        <w:t>Numărul u</w:t>
      </w:r>
      <w:r w:rsidRPr="00581671">
        <w:rPr>
          <w:lang w:val="ro-RO"/>
        </w:rPr>
        <w:t>tilizatori</w:t>
      </w:r>
      <w:r w:rsidR="009C3C0E" w:rsidRPr="00581671">
        <w:rPr>
          <w:lang w:val="ro-RO"/>
        </w:rPr>
        <w:t>lor</w:t>
      </w:r>
      <w:r w:rsidRPr="00581671">
        <w:rPr>
          <w:lang w:val="ro-RO"/>
        </w:rPr>
        <w:t xml:space="preserve"> de telefonie mobilă a crescut cu 15,8% </w:t>
      </w:r>
      <w:r w:rsidR="009C3C0E" w:rsidRPr="00581671">
        <w:rPr>
          <w:lang w:val="ro-RO"/>
        </w:rPr>
        <w:t>în comparație cu aceeași perioadă a anului anterior</w:t>
      </w:r>
      <w:r w:rsidRPr="00581671">
        <w:rPr>
          <w:lang w:val="ro-RO"/>
        </w:rPr>
        <w:t>, ajungând la 4</w:t>
      </w:r>
      <w:r w:rsidR="007E49D3" w:rsidRPr="00581671">
        <w:rPr>
          <w:lang w:val="ro-RO"/>
        </w:rPr>
        <w:t>.</w:t>
      </w:r>
      <w:r w:rsidRPr="00581671">
        <w:rPr>
          <w:lang w:val="ro-RO"/>
        </w:rPr>
        <w:t>5 milioane</w:t>
      </w:r>
      <w:r w:rsidR="009C3C0E" w:rsidRPr="00581671">
        <w:rPr>
          <w:lang w:val="ro-RO"/>
        </w:rPr>
        <w:t>.</w:t>
      </w:r>
      <w:r w:rsidRPr="00581671">
        <w:rPr>
          <w:lang w:val="ro-RO"/>
        </w:rPr>
        <w:t xml:space="preserve"> </w:t>
      </w:r>
      <w:r w:rsidR="009C3C0E" w:rsidRPr="00581671">
        <w:rPr>
          <w:lang w:val="ro-RO"/>
        </w:rPr>
        <w:t>Totodată,</w:t>
      </w:r>
      <w:r w:rsidRPr="00581671">
        <w:rPr>
          <w:lang w:val="ro-RO"/>
        </w:rPr>
        <w:t xml:space="preserve"> ne-am menținut poziția de lider î</w:t>
      </w:r>
      <w:r w:rsidR="009C3C0E" w:rsidRPr="00581671">
        <w:rPr>
          <w:lang w:val="ro-RO"/>
        </w:rPr>
        <w:t>n ceea ce privește</w:t>
      </w:r>
      <w:r w:rsidRPr="00581671">
        <w:rPr>
          <w:lang w:val="ro-RO"/>
        </w:rPr>
        <w:t xml:space="preserve"> portabil</w:t>
      </w:r>
      <w:r w:rsidR="009C3C0E" w:rsidRPr="00581671">
        <w:rPr>
          <w:lang w:val="ro-RO"/>
        </w:rPr>
        <w:t xml:space="preserve">itatea </w:t>
      </w:r>
      <w:r w:rsidRPr="00581671">
        <w:rPr>
          <w:lang w:val="ro-RO"/>
        </w:rPr>
        <w:t xml:space="preserve">numerelor de telefonie mobilă.  </w:t>
      </w:r>
      <w:r w:rsidR="00442408" w:rsidRPr="00581671">
        <w:rPr>
          <w:lang w:val="ro-RO"/>
        </w:rPr>
        <w:t>Pe segmentul serviciilor de internet fix, numărul u</w:t>
      </w:r>
      <w:r w:rsidRPr="00581671">
        <w:rPr>
          <w:lang w:val="ro-RO"/>
        </w:rPr>
        <w:t>tilizatori</w:t>
      </w:r>
      <w:r w:rsidR="00442408" w:rsidRPr="00581671">
        <w:rPr>
          <w:lang w:val="ro-RO"/>
        </w:rPr>
        <w:t>lor</w:t>
      </w:r>
      <w:r w:rsidRPr="00581671">
        <w:rPr>
          <w:lang w:val="ro-RO"/>
        </w:rPr>
        <w:t xml:space="preserve"> </w:t>
      </w:r>
      <w:r w:rsidR="00442408" w:rsidRPr="00581671">
        <w:rPr>
          <w:lang w:val="ro-RO"/>
        </w:rPr>
        <w:t>a</w:t>
      </w:r>
      <w:r w:rsidRPr="00581671">
        <w:rPr>
          <w:lang w:val="ro-RO"/>
        </w:rPr>
        <w:t xml:space="preserve"> crescut cu 11</w:t>
      </w:r>
      <w:r w:rsidR="007E49D3" w:rsidRPr="00581671">
        <w:rPr>
          <w:lang w:val="ro-RO"/>
        </w:rPr>
        <w:t>,</w:t>
      </w:r>
      <w:r w:rsidRPr="00581671">
        <w:rPr>
          <w:lang w:val="ro-RO"/>
        </w:rPr>
        <w:t>9%</w:t>
      </w:r>
      <w:r w:rsidR="00442408" w:rsidRPr="00581671">
        <w:rPr>
          <w:lang w:val="ro-RO"/>
        </w:rPr>
        <w:t xml:space="preserve"> și a atins un total</w:t>
      </w:r>
      <w:r w:rsidRPr="00581671">
        <w:rPr>
          <w:lang w:val="ro-RO"/>
        </w:rPr>
        <w:t xml:space="preserve"> de 4</w:t>
      </w:r>
      <w:r w:rsidR="00442408" w:rsidRPr="00581671">
        <w:rPr>
          <w:lang w:val="ro-RO"/>
        </w:rPr>
        <w:t xml:space="preserve"> </w:t>
      </w:r>
      <w:r w:rsidRPr="00581671">
        <w:rPr>
          <w:lang w:val="ro-RO"/>
        </w:rPr>
        <w:t>milioane</w:t>
      </w:r>
      <w:r w:rsidR="00442408" w:rsidRPr="00581671">
        <w:rPr>
          <w:lang w:val="ro-RO"/>
        </w:rPr>
        <w:t>, iar a</w:t>
      </w:r>
      <w:r w:rsidR="00812644" w:rsidRPr="00581671">
        <w:rPr>
          <w:lang w:val="ro-RO"/>
        </w:rPr>
        <w:t>l clienților</w:t>
      </w:r>
      <w:r w:rsidRPr="00581671">
        <w:rPr>
          <w:lang w:val="ro-RO"/>
        </w:rPr>
        <w:t xml:space="preserve"> Pay-TV a ajuns la 5</w:t>
      </w:r>
      <w:r w:rsidR="007E49D3" w:rsidRPr="00581671">
        <w:rPr>
          <w:lang w:val="ro-RO"/>
        </w:rPr>
        <w:t>.</w:t>
      </w:r>
      <w:r w:rsidRPr="00581671">
        <w:rPr>
          <w:lang w:val="ro-RO"/>
        </w:rPr>
        <w:t xml:space="preserve">3 milioane. </w:t>
      </w:r>
    </w:p>
    <w:p w14:paraId="0E112B78" w14:textId="37DD438A" w:rsidR="007A5423" w:rsidRPr="00581671" w:rsidRDefault="00812644">
      <w:pPr>
        <w:spacing w:after="120"/>
        <w:jc w:val="both"/>
        <w:rPr>
          <w:lang w:val="ro-RO"/>
        </w:rPr>
      </w:pPr>
      <w:r w:rsidRPr="00581671">
        <w:rPr>
          <w:lang w:val="ro-RO"/>
        </w:rPr>
        <w:t>O</w:t>
      </w:r>
      <w:r w:rsidR="007A5423" w:rsidRPr="00581671">
        <w:rPr>
          <w:lang w:val="ro-RO"/>
        </w:rPr>
        <w:t>perațiunil</w:t>
      </w:r>
      <w:r w:rsidRPr="00581671">
        <w:rPr>
          <w:lang w:val="ro-RO"/>
        </w:rPr>
        <w:t>e</w:t>
      </w:r>
      <w:r w:rsidR="007A5423" w:rsidRPr="00581671">
        <w:rPr>
          <w:lang w:val="ro-RO"/>
        </w:rPr>
        <w:t xml:space="preserve"> din Spania </w:t>
      </w:r>
      <w:r w:rsidRPr="00581671">
        <w:rPr>
          <w:lang w:val="ro-RO"/>
        </w:rPr>
        <w:t>se mențin, de asemenea, pe un trend</w:t>
      </w:r>
      <w:r w:rsidR="007A5423" w:rsidRPr="00581671">
        <w:rPr>
          <w:lang w:val="ro-RO"/>
        </w:rPr>
        <w:t xml:space="preserve"> ascendent. Veniturile </w:t>
      </w:r>
      <w:r w:rsidRPr="00581671">
        <w:rPr>
          <w:lang w:val="ro-RO"/>
        </w:rPr>
        <w:t>s-au majorat</w:t>
      </w:r>
      <w:r w:rsidR="007A5423" w:rsidRPr="00581671">
        <w:rPr>
          <w:lang w:val="ro-RO"/>
        </w:rPr>
        <w:t xml:space="preserve"> cu 39</w:t>
      </w:r>
      <w:r w:rsidR="007E49D3" w:rsidRPr="00581671">
        <w:rPr>
          <w:lang w:val="ro-RO"/>
        </w:rPr>
        <w:t>.</w:t>
      </w:r>
      <w:r w:rsidR="007A5423" w:rsidRPr="00581671">
        <w:rPr>
          <w:lang w:val="ro-RO"/>
        </w:rPr>
        <w:t>2% de la an la an, ajungând la 118</w:t>
      </w:r>
      <w:r w:rsidR="007E49D3" w:rsidRPr="00581671">
        <w:rPr>
          <w:lang w:val="ro-RO"/>
        </w:rPr>
        <w:t>.</w:t>
      </w:r>
      <w:r w:rsidR="007A5423" w:rsidRPr="00581671">
        <w:rPr>
          <w:lang w:val="ro-RO"/>
        </w:rPr>
        <w:t xml:space="preserve">2 milioane de </w:t>
      </w:r>
      <w:r w:rsidR="00640A8E" w:rsidRPr="00581671">
        <w:rPr>
          <w:lang w:val="ro-RO"/>
        </w:rPr>
        <w:t>Euro</w:t>
      </w:r>
      <w:r w:rsidR="007A5423" w:rsidRPr="00581671">
        <w:rPr>
          <w:lang w:val="ro-RO"/>
        </w:rPr>
        <w:t xml:space="preserve">, evoluție determinată de creșterea cu 29% a </w:t>
      </w:r>
      <w:r w:rsidRPr="00581671">
        <w:rPr>
          <w:lang w:val="ro-RO"/>
        </w:rPr>
        <w:t>clienților de</w:t>
      </w:r>
      <w:r w:rsidR="007A5423" w:rsidRPr="00581671">
        <w:rPr>
          <w:lang w:val="ro-RO"/>
        </w:rPr>
        <w:t xml:space="preserve"> telefonie mobilă și</w:t>
      </w:r>
      <w:r w:rsidRPr="00581671">
        <w:rPr>
          <w:lang w:val="ro-RO"/>
        </w:rPr>
        <w:t xml:space="preserve"> </w:t>
      </w:r>
      <w:r w:rsidR="007A5423" w:rsidRPr="00581671">
        <w:rPr>
          <w:lang w:val="ro-RO"/>
        </w:rPr>
        <w:t xml:space="preserve">cu 102% a </w:t>
      </w:r>
      <w:r w:rsidRPr="00581671">
        <w:rPr>
          <w:lang w:val="ro-RO"/>
        </w:rPr>
        <w:t xml:space="preserve"> celor de </w:t>
      </w:r>
      <w:r w:rsidR="007A5423" w:rsidRPr="00581671">
        <w:rPr>
          <w:lang w:val="ro-RO"/>
        </w:rPr>
        <w:t xml:space="preserve">servicii fixe. </w:t>
      </w:r>
      <w:r w:rsidRPr="00581671">
        <w:rPr>
          <w:lang w:val="ro-RO"/>
        </w:rPr>
        <w:t>De asemenea, numărul u</w:t>
      </w:r>
      <w:r w:rsidR="007A5423" w:rsidRPr="00581671">
        <w:rPr>
          <w:lang w:val="ro-RO"/>
        </w:rPr>
        <w:t>tilizatori</w:t>
      </w:r>
      <w:r w:rsidRPr="00581671">
        <w:rPr>
          <w:lang w:val="ro-RO"/>
        </w:rPr>
        <w:t>lor</w:t>
      </w:r>
      <w:r w:rsidR="007A5423" w:rsidRPr="00581671">
        <w:rPr>
          <w:lang w:val="ro-RO"/>
        </w:rPr>
        <w:t xml:space="preserve"> de telefonie mobilă a atins 3</w:t>
      </w:r>
      <w:r w:rsidR="00D16A90" w:rsidRPr="00581671">
        <w:rPr>
          <w:lang w:val="ro-RO"/>
        </w:rPr>
        <w:t>.</w:t>
      </w:r>
      <w:r w:rsidR="007A5423" w:rsidRPr="00581671">
        <w:rPr>
          <w:lang w:val="ro-RO"/>
        </w:rPr>
        <w:t>4 milioane,</w:t>
      </w:r>
      <w:r w:rsidR="00D16A90" w:rsidRPr="00581671">
        <w:rPr>
          <w:lang w:val="ro-RO"/>
        </w:rPr>
        <w:t xml:space="preserve"> iar al celor de internet fix 658.000.</w:t>
      </w:r>
      <w:r w:rsidR="007A5423" w:rsidRPr="00581671">
        <w:rPr>
          <w:lang w:val="ro-RO"/>
        </w:rPr>
        <w:t xml:space="preserve"> Operațiunile din Italia au înregistrat vânzări de 6,9 milioane de </w:t>
      </w:r>
      <w:r w:rsidR="00640A8E" w:rsidRPr="00581671">
        <w:rPr>
          <w:lang w:val="ro-RO"/>
        </w:rPr>
        <w:t>Euro</w:t>
      </w:r>
      <w:r w:rsidR="007A5423" w:rsidRPr="00581671">
        <w:rPr>
          <w:lang w:val="ro-RO"/>
        </w:rPr>
        <w:t xml:space="preserve">, o creștere de 15% </w:t>
      </w:r>
      <w:r w:rsidR="00D16A90" w:rsidRPr="00581671">
        <w:rPr>
          <w:lang w:val="ro-RO"/>
        </w:rPr>
        <w:t>comparative cu T2 2021</w:t>
      </w:r>
      <w:r w:rsidR="007A5423" w:rsidRPr="00581671">
        <w:rPr>
          <w:lang w:val="ro-RO"/>
        </w:rPr>
        <w:t xml:space="preserve">, în timp ce numărul de </w:t>
      </w:r>
      <w:r w:rsidR="00D16A90" w:rsidRPr="00581671">
        <w:rPr>
          <w:lang w:val="ro-RO"/>
        </w:rPr>
        <w:t>utilizatori</w:t>
      </w:r>
      <w:r w:rsidR="007A5423" w:rsidRPr="00581671">
        <w:rPr>
          <w:lang w:val="ro-RO"/>
        </w:rPr>
        <w:t xml:space="preserve"> de telefonie mobilă se ridică la 354.</w:t>
      </w:r>
      <w:r w:rsidR="00D16A90" w:rsidRPr="00581671">
        <w:rPr>
          <w:lang w:val="ro-RO"/>
        </w:rPr>
        <w:t>000.</w:t>
      </w:r>
    </w:p>
    <w:p w14:paraId="1F12727B" w14:textId="20A415C8" w:rsidR="008B513A" w:rsidRPr="00581671" w:rsidRDefault="007A5423">
      <w:pPr>
        <w:spacing w:after="120"/>
        <w:jc w:val="both"/>
        <w:rPr>
          <w:lang w:val="ro-RO"/>
        </w:rPr>
      </w:pPr>
      <w:r w:rsidRPr="00581671">
        <w:rPr>
          <w:lang w:val="ro-RO"/>
        </w:rPr>
        <w:lastRenderedPageBreak/>
        <w:t>În luna iunie, filiala românească RCS &amp; RDS S.A., prin intermediul unui joint-venture cu Citymesh NV, parte a grupului Cegeka IT, a câștigat drepturile de utilizare a spectrului de frecvențe mobile, pentru un preț total de 114</w:t>
      </w:r>
      <w:r w:rsidR="007E49D3" w:rsidRPr="00581671">
        <w:rPr>
          <w:lang w:val="ro-RO"/>
        </w:rPr>
        <w:t>.</w:t>
      </w:r>
      <w:r w:rsidRPr="00581671">
        <w:rPr>
          <w:lang w:val="ro-RO"/>
        </w:rPr>
        <w:t xml:space="preserve">330 milioane de </w:t>
      </w:r>
      <w:r w:rsidR="00640A8E" w:rsidRPr="00581671">
        <w:rPr>
          <w:lang w:val="ro-RO"/>
        </w:rPr>
        <w:t>Euro</w:t>
      </w:r>
      <w:r w:rsidRPr="00581671">
        <w:rPr>
          <w:lang w:val="ro-RO"/>
        </w:rPr>
        <w:t xml:space="preserve">, în urma participării la o licitație organizată de Institutul </w:t>
      </w:r>
      <w:r w:rsidR="00D16A90" w:rsidRPr="00581671">
        <w:rPr>
          <w:lang w:val="ro-RO"/>
        </w:rPr>
        <w:t>B</w:t>
      </w:r>
      <w:r w:rsidRPr="00581671">
        <w:rPr>
          <w:lang w:val="ro-RO"/>
        </w:rPr>
        <w:t xml:space="preserve">elgian pentru </w:t>
      </w:r>
      <w:r w:rsidR="00D16A90" w:rsidRPr="00581671">
        <w:rPr>
          <w:lang w:val="ro-RO"/>
        </w:rPr>
        <w:t>S</w:t>
      </w:r>
      <w:r w:rsidRPr="00581671">
        <w:rPr>
          <w:lang w:val="ro-RO"/>
        </w:rPr>
        <w:t xml:space="preserve">ervicii </w:t>
      </w:r>
      <w:r w:rsidR="00D16A90" w:rsidRPr="00581671">
        <w:rPr>
          <w:lang w:val="ro-RO"/>
        </w:rPr>
        <w:t>P</w:t>
      </w:r>
      <w:r w:rsidRPr="00581671">
        <w:rPr>
          <w:lang w:val="ro-RO"/>
        </w:rPr>
        <w:t xml:space="preserve">oștale și </w:t>
      </w:r>
      <w:r w:rsidR="00D16A90" w:rsidRPr="00581671">
        <w:rPr>
          <w:lang w:val="ro-RO"/>
        </w:rPr>
        <w:t>T</w:t>
      </w:r>
      <w:r w:rsidRPr="00581671">
        <w:rPr>
          <w:lang w:val="ro-RO"/>
        </w:rPr>
        <w:t>elecomunicații („BIPT").</w:t>
      </w:r>
    </w:p>
    <w:p w14:paraId="053BCCB0" w14:textId="0DCA9C6A" w:rsidR="007A5423" w:rsidRPr="00581671" w:rsidRDefault="007A5423" w:rsidP="007A5423">
      <w:pPr>
        <w:spacing w:after="120"/>
        <w:jc w:val="both"/>
        <w:rPr>
          <w:lang w:val="ro-RO"/>
        </w:rPr>
      </w:pPr>
      <w:r w:rsidRPr="00581671">
        <w:rPr>
          <w:b/>
          <w:bCs/>
          <w:lang w:val="ro-RO"/>
        </w:rPr>
        <w:t xml:space="preserve">Serghei Bulgac, CEO al Digi Communications, a </w:t>
      </w:r>
      <w:r w:rsidR="00D16A90" w:rsidRPr="00581671">
        <w:rPr>
          <w:b/>
          <w:bCs/>
          <w:lang w:val="ro-RO"/>
        </w:rPr>
        <w:t>declarat</w:t>
      </w:r>
      <w:r w:rsidRPr="00581671">
        <w:rPr>
          <w:b/>
          <w:bCs/>
          <w:lang w:val="ro-RO"/>
        </w:rPr>
        <w:t>:</w:t>
      </w:r>
      <w:r w:rsidRPr="00581671">
        <w:rPr>
          <w:lang w:val="ro-RO"/>
        </w:rPr>
        <w:t xml:space="preserve"> </w:t>
      </w:r>
      <w:r w:rsidR="00D16A90" w:rsidRPr="00581671">
        <w:rPr>
          <w:lang w:val="ro-RO"/>
        </w:rPr>
        <w:t>„</w:t>
      </w:r>
      <w:r w:rsidRPr="00581671">
        <w:rPr>
          <w:lang w:val="ro-RO"/>
        </w:rPr>
        <w:t>Grupul DIGI a înregistrat rezultate solide în al doilea trimestru al anului 2022, cu performanțe pozitive obținute pe toate piețele</w:t>
      </w:r>
      <w:r w:rsidR="00D16A90" w:rsidRPr="00581671">
        <w:rPr>
          <w:lang w:val="ro-RO"/>
        </w:rPr>
        <w:t xml:space="preserve"> în care activăm</w:t>
      </w:r>
      <w:r w:rsidRPr="00581671">
        <w:rPr>
          <w:lang w:val="ro-RO"/>
        </w:rPr>
        <w:t>. Am continuat să ne extindem portofoliul de clienți și veniturile pe segmentele de servicii mobile și fixe, deși ne-am confruntat cu o</w:t>
      </w:r>
      <w:r w:rsidR="00D86E02" w:rsidRPr="00581671">
        <w:rPr>
          <w:lang w:val="ro-RO"/>
        </w:rPr>
        <w:t xml:space="preserve"> situație</w:t>
      </w:r>
      <w:r w:rsidRPr="00581671">
        <w:rPr>
          <w:lang w:val="ro-RO"/>
        </w:rPr>
        <w:t xml:space="preserve"> economie d</w:t>
      </w:r>
      <w:r w:rsidR="00D86E02" w:rsidRPr="00581671">
        <w:rPr>
          <w:lang w:val="ro-RO"/>
        </w:rPr>
        <w:t>elicată</w:t>
      </w:r>
      <w:r w:rsidRPr="00581671">
        <w:rPr>
          <w:lang w:val="ro-RO"/>
        </w:rPr>
        <w:t xml:space="preserve"> </w:t>
      </w:r>
      <w:r w:rsidR="00D86E02" w:rsidRPr="00581671">
        <w:rPr>
          <w:lang w:val="ro-RO"/>
        </w:rPr>
        <w:t>într-</w:t>
      </w:r>
      <w:r w:rsidRPr="00581671">
        <w:rPr>
          <w:lang w:val="ro-RO"/>
        </w:rPr>
        <w:t>un</w:t>
      </w:r>
      <w:r w:rsidR="00D86E02" w:rsidRPr="00581671">
        <w:rPr>
          <w:lang w:val="ro-RO"/>
        </w:rPr>
        <w:t xml:space="preserve"> context </w:t>
      </w:r>
      <w:r w:rsidRPr="00581671">
        <w:rPr>
          <w:lang w:val="ro-RO"/>
        </w:rPr>
        <w:t>internațional incert.</w:t>
      </w:r>
    </w:p>
    <w:p w14:paraId="6682DCE2" w14:textId="080FA536" w:rsidR="007A5423" w:rsidRPr="00581671" w:rsidRDefault="00D86E02" w:rsidP="007A5423">
      <w:pPr>
        <w:spacing w:after="120"/>
        <w:jc w:val="both"/>
        <w:rPr>
          <w:lang w:val="ro-RO"/>
        </w:rPr>
      </w:pPr>
      <w:r w:rsidRPr="00581671">
        <w:rPr>
          <w:lang w:val="ro-RO"/>
        </w:rPr>
        <w:t>Totodată, s</w:t>
      </w:r>
      <w:r w:rsidR="007A5423" w:rsidRPr="00581671">
        <w:rPr>
          <w:lang w:val="ro-RO"/>
        </w:rPr>
        <w:t>untem încântați să începem un nou capitol în dezvoltarea noastră - deschiderea operațiunilor din Belgia în cadrul unui joint-venture cu Citymesh NV</w:t>
      </w:r>
      <w:r w:rsidRPr="00581671">
        <w:rPr>
          <w:lang w:val="ro-RO"/>
        </w:rPr>
        <w:t xml:space="preserve"> și n</w:t>
      </w:r>
      <w:r w:rsidR="007A5423" w:rsidRPr="00581671">
        <w:rPr>
          <w:lang w:val="ro-RO"/>
        </w:rPr>
        <w:t>e propunem să aducem pe piața belgiană serviciile noastre atractive și competitive."</w:t>
      </w:r>
    </w:p>
    <w:tbl>
      <w:tblPr>
        <w:tblStyle w:val="PlainTable411"/>
        <w:tblW w:w="9738" w:type="dxa"/>
        <w:tblLayout w:type="fixed"/>
        <w:tblLook w:val="04A0" w:firstRow="1" w:lastRow="0" w:firstColumn="1" w:lastColumn="0" w:noHBand="0" w:noVBand="1"/>
      </w:tblPr>
      <w:tblGrid>
        <w:gridCol w:w="5688"/>
        <w:gridCol w:w="1692"/>
        <w:gridCol w:w="1080"/>
        <w:gridCol w:w="1278"/>
      </w:tblGrid>
      <w:tr w:rsidR="00923A92" w:rsidRPr="00923A92" w14:paraId="20EE7992" w14:textId="77777777" w:rsidTr="00923A9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88" w:type="dxa"/>
          </w:tcPr>
          <w:p w14:paraId="27FEA2CD" w14:textId="77777777" w:rsidR="00923A92" w:rsidRPr="00923A92" w:rsidRDefault="00923A92" w:rsidP="00923A92">
            <w:pPr>
              <w:suppressAutoHyphens w:val="0"/>
              <w:spacing w:after="0" w:line="240" w:lineRule="auto"/>
              <w:contextualSpacing/>
              <w:rPr>
                <w:iCs/>
                <w:color w:val="002060"/>
                <w:lang w:val="ro-RO"/>
              </w:rPr>
            </w:pPr>
            <w:bookmarkStart w:id="0" w:name="_Hlk103679967"/>
            <w:r w:rsidRPr="00923A92">
              <w:rPr>
                <w:iCs/>
                <w:color w:val="002060"/>
                <w:lang w:val="ro-RO"/>
              </w:rPr>
              <w:t>Indicatori comerciali în funcție de țară (RGU, sute de mii)</w:t>
            </w:r>
          </w:p>
        </w:tc>
        <w:tc>
          <w:tcPr>
            <w:tcW w:w="1692" w:type="dxa"/>
          </w:tcPr>
          <w:p w14:paraId="6EB86C76" w14:textId="2AC9FFD0" w:rsidR="00923A92" w:rsidRPr="00923A92" w:rsidRDefault="00923A92" w:rsidP="00923A92">
            <w:pPr>
              <w:widowControl w:val="0"/>
              <w:suppressAutoHyphens w:val="0"/>
              <w:spacing w:after="0" w:line="20" w:lineRule="atLeast"/>
              <w:contextualSpacing/>
              <w:jc w:val="right"/>
              <w:cnfStyle w:val="100000000000" w:firstRow="1" w:lastRow="0" w:firstColumn="0" w:lastColumn="0" w:oddVBand="0" w:evenVBand="0" w:oddHBand="0" w:evenHBand="0" w:firstRowFirstColumn="0" w:firstRowLastColumn="0" w:lastRowFirstColumn="0" w:lastRowLastColumn="0"/>
              <w:rPr>
                <w:iCs/>
                <w:color w:val="002060"/>
                <w:lang w:val="ro-RO"/>
              </w:rPr>
            </w:pPr>
            <w:r w:rsidRPr="00923A92">
              <w:rPr>
                <w:iCs/>
                <w:color w:val="002060"/>
                <w:lang w:val="ro-RO"/>
              </w:rPr>
              <w:t>T</w:t>
            </w:r>
            <w:r w:rsidR="00773DC0">
              <w:rPr>
                <w:iCs/>
                <w:color w:val="002060"/>
                <w:lang w:val="ro-RO"/>
              </w:rPr>
              <w:t>2</w:t>
            </w:r>
            <w:r w:rsidRPr="00923A92">
              <w:rPr>
                <w:iCs/>
                <w:color w:val="002060"/>
                <w:lang w:val="ro-RO"/>
              </w:rPr>
              <w:t xml:space="preserve"> 22</w:t>
            </w:r>
          </w:p>
        </w:tc>
        <w:tc>
          <w:tcPr>
            <w:tcW w:w="1080" w:type="dxa"/>
          </w:tcPr>
          <w:p w14:paraId="3425CA7A" w14:textId="796FFA3B" w:rsidR="00923A92" w:rsidRPr="00923A92" w:rsidRDefault="00923A92" w:rsidP="00923A92">
            <w:pPr>
              <w:widowControl w:val="0"/>
              <w:suppressAutoHyphens w:val="0"/>
              <w:spacing w:after="0" w:line="20" w:lineRule="atLeast"/>
              <w:contextualSpacing/>
              <w:jc w:val="right"/>
              <w:cnfStyle w:val="100000000000" w:firstRow="1" w:lastRow="0" w:firstColumn="0" w:lastColumn="0" w:oddVBand="0" w:evenVBand="0" w:oddHBand="0" w:evenHBand="0" w:firstRowFirstColumn="0" w:firstRowLastColumn="0" w:lastRowFirstColumn="0" w:lastRowLastColumn="0"/>
              <w:rPr>
                <w:iCs/>
                <w:color w:val="002060"/>
                <w:lang w:val="ro-RO"/>
              </w:rPr>
            </w:pPr>
            <w:r w:rsidRPr="00923A92">
              <w:rPr>
                <w:iCs/>
                <w:color w:val="002060"/>
                <w:lang w:val="ro-RO"/>
              </w:rPr>
              <w:t>T</w:t>
            </w:r>
            <w:r w:rsidR="00773DC0">
              <w:rPr>
                <w:iCs/>
                <w:color w:val="002060"/>
                <w:lang w:val="ro-RO"/>
              </w:rPr>
              <w:t>2</w:t>
            </w:r>
            <w:r w:rsidRPr="00923A92">
              <w:rPr>
                <w:iCs/>
                <w:color w:val="002060"/>
                <w:lang w:val="ro-RO"/>
              </w:rPr>
              <w:t xml:space="preserve"> 21</w:t>
            </w:r>
          </w:p>
        </w:tc>
        <w:tc>
          <w:tcPr>
            <w:tcW w:w="1278" w:type="dxa"/>
          </w:tcPr>
          <w:p w14:paraId="28D57B78" w14:textId="77777777" w:rsidR="00923A92" w:rsidRPr="00923A92" w:rsidRDefault="00923A92" w:rsidP="00923A92">
            <w:pPr>
              <w:widowControl w:val="0"/>
              <w:suppressAutoHyphens w:val="0"/>
              <w:spacing w:after="0" w:line="20" w:lineRule="atLeast"/>
              <w:contextualSpacing/>
              <w:jc w:val="right"/>
              <w:cnfStyle w:val="100000000000" w:firstRow="1" w:lastRow="0" w:firstColumn="0" w:lastColumn="0" w:oddVBand="0" w:evenVBand="0" w:oddHBand="0" w:evenHBand="0" w:firstRowFirstColumn="0" w:firstRowLastColumn="0" w:lastRowFirstColumn="0" w:lastRowLastColumn="0"/>
              <w:rPr>
                <w:iCs/>
                <w:color w:val="002060"/>
                <w:lang w:val="ro-RO"/>
              </w:rPr>
            </w:pPr>
            <w:r w:rsidRPr="00923A92">
              <w:rPr>
                <w:iCs/>
                <w:color w:val="002060"/>
                <w:lang w:val="ro-RO"/>
              </w:rPr>
              <w:t>Variație (%)</w:t>
            </w:r>
          </w:p>
        </w:tc>
      </w:tr>
      <w:tr w:rsidR="00923A92" w:rsidRPr="00923A92" w14:paraId="33F42E55" w14:textId="77777777" w:rsidTr="00923A92">
        <w:trPr>
          <w:trHeight w:val="224"/>
        </w:trPr>
        <w:tc>
          <w:tcPr>
            <w:cnfStyle w:val="001000000000" w:firstRow="0" w:lastRow="0" w:firstColumn="1" w:lastColumn="0" w:oddVBand="0" w:evenVBand="0" w:oddHBand="0" w:evenHBand="0" w:firstRowFirstColumn="0" w:firstRowLastColumn="0" w:lastRowFirstColumn="0" w:lastRowLastColumn="0"/>
            <w:tcW w:w="5688" w:type="dxa"/>
            <w:shd w:val="clear" w:color="auto" w:fill="F2F2F2" w:themeFill="background1" w:themeFillShade="F2"/>
          </w:tcPr>
          <w:p w14:paraId="77BA9ABF" w14:textId="77777777" w:rsidR="00923A92" w:rsidRPr="00923A92" w:rsidRDefault="00923A92" w:rsidP="00923A92">
            <w:pPr>
              <w:widowControl w:val="0"/>
              <w:suppressAutoHyphens w:val="0"/>
              <w:spacing w:after="0" w:line="240" w:lineRule="auto"/>
              <w:contextualSpacing/>
              <w:rPr>
                <w:iCs/>
                <w:color w:val="002060"/>
                <w:sz w:val="20"/>
                <w:szCs w:val="20"/>
                <w:lang w:val="ro-RO"/>
              </w:rPr>
            </w:pPr>
            <w:r w:rsidRPr="00923A92">
              <w:rPr>
                <w:iCs/>
                <w:color w:val="002060"/>
                <w:sz w:val="20"/>
                <w:szCs w:val="20"/>
                <w:lang w:val="ro-RO"/>
              </w:rPr>
              <w:t>România</w:t>
            </w:r>
          </w:p>
        </w:tc>
        <w:tc>
          <w:tcPr>
            <w:tcW w:w="1692" w:type="dxa"/>
            <w:shd w:val="clear" w:color="auto" w:fill="F2F2F2" w:themeFill="background1" w:themeFillShade="F2"/>
          </w:tcPr>
          <w:p w14:paraId="4CCF80E1" w14:textId="77777777"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p>
        </w:tc>
        <w:tc>
          <w:tcPr>
            <w:tcW w:w="1080" w:type="dxa"/>
            <w:shd w:val="clear" w:color="auto" w:fill="F2F2F2" w:themeFill="background1" w:themeFillShade="F2"/>
          </w:tcPr>
          <w:p w14:paraId="4F901C5E" w14:textId="77777777"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p>
        </w:tc>
        <w:tc>
          <w:tcPr>
            <w:tcW w:w="1278" w:type="dxa"/>
            <w:shd w:val="clear" w:color="auto" w:fill="F2F2F2" w:themeFill="background1" w:themeFillShade="F2"/>
          </w:tcPr>
          <w:p w14:paraId="669D19D0" w14:textId="77777777"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
                <w:bCs/>
                <w:iCs/>
                <w:sz w:val="20"/>
                <w:szCs w:val="20"/>
                <w:lang w:val="ro-RO"/>
              </w:rPr>
            </w:pPr>
          </w:p>
        </w:tc>
      </w:tr>
      <w:tr w:rsidR="00923A92" w:rsidRPr="00923A92" w14:paraId="0CFF8F7A" w14:textId="77777777" w:rsidTr="00923A92">
        <w:trPr>
          <w:trHeight w:val="68"/>
        </w:trPr>
        <w:tc>
          <w:tcPr>
            <w:cnfStyle w:val="001000000000" w:firstRow="0" w:lastRow="0" w:firstColumn="1" w:lastColumn="0" w:oddVBand="0" w:evenVBand="0" w:oddHBand="0" w:evenHBand="0" w:firstRowFirstColumn="0" w:firstRowLastColumn="0" w:lastRowFirstColumn="0" w:lastRowLastColumn="0"/>
            <w:tcW w:w="5688" w:type="dxa"/>
          </w:tcPr>
          <w:p w14:paraId="39A250B1" w14:textId="77777777" w:rsidR="00923A92" w:rsidRPr="00923A92" w:rsidRDefault="00923A92" w:rsidP="00923A92">
            <w:pPr>
              <w:widowControl w:val="0"/>
              <w:suppressAutoHyphens w:val="0"/>
              <w:spacing w:after="0" w:line="240" w:lineRule="auto"/>
              <w:contextualSpacing/>
              <w:rPr>
                <w:iCs/>
                <w:sz w:val="20"/>
                <w:szCs w:val="20"/>
                <w:lang w:val="ro-RO"/>
              </w:rPr>
            </w:pPr>
            <w:r w:rsidRPr="00923A92">
              <w:rPr>
                <w:iCs/>
                <w:sz w:val="20"/>
                <w:szCs w:val="20"/>
                <w:lang w:val="ro-RO"/>
              </w:rPr>
              <w:t>Pay-TV</w:t>
            </w:r>
          </w:p>
        </w:tc>
        <w:tc>
          <w:tcPr>
            <w:tcW w:w="1692" w:type="dxa"/>
          </w:tcPr>
          <w:p w14:paraId="22FE59AA" w14:textId="6E43AF78"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sz w:val="20"/>
                <w:szCs w:val="20"/>
                <w:lang w:val="ro-RO"/>
              </w:rPr>
              <w:t>5,271</w:t>
            </w:r>
          </w:p>
        </w:tc>
        <w:tc>
          <w:tcPr>
            <w:tcW w:w="1080" w:type="dxa"/>
          </w:tcPr>
          <w:p w14:paraId="12C28D8D" w14:textId="01E45FB9"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sz w:val="20"/>
                <w:szCs w:val="20"/>
                <w:lang w:val="ro-RO"/>
              </w:rPr>
              <w:t>4,960</w:t>
            </w:r>
          </w:p>
        </w:tc>
        <w:tc>
          <w:tcPr>
            <w:tcW w:w="1278" w:type="dxa"/>
            <w:vAlign w:val="bottom"/>
          </w:tcPr>
          <w:p w14:paraId="4CBD15F1" w14:textId="0D3A6B90"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
                <w:bCs/>
                <w:iCs/>
                <w:color w:val="002060"/>
                <w:sz w:val="20"/>
                <w:szCs w:val="20"/>
                <w:lang w:val="ro-RO"/>
              </w:rPr>
            </w:pPr>
            <w:r w:rsidRPr="00581671">
              <w:rPr>
                <w:rFonts w:eastAsia="Times New Roman" w:cs="Calibri"/>
                <w:b/>
                <w:bCs/>
                <w:sz w:val="20"/>
                <w:szCs w:val="20"/>
                <w:lang w:val="ro-RO"/>
              </w:rPr>
              <w:t>6,3%</w:t>
            </w:r>
          </w:p>
        </w:tc>
      </w:tr>
      <w:tr w:rsidR="00581671" w:rsidRPr="00923A92" w14:paraId="6A545FB7" w14:textId="77777777" w:rsidTr="00923A92">
        <w:trPr>
          <w:trHeight w:val="26"/>
        </w:trPr>
        <w:tc>
          <w:tcPr>
            <w:cnfStyle w:val="001000000000" w:firstRow="0" w:lastRow="0" w:firstColumn="1" w:lastColumn="0" w:oddVBand="0" w:evenVBand="0" w:oddHBand="0" w:evenHBand="0" w:firstRowFirstColumn="0" w:firstRowLastColumn="0" w:lastRowFirstColumn="0" w:lastRowLastColumn="0"/>
            <w:tcW w:w="5688" w:type="dxa"/>
            <w:shd w:val="clear" w:color="auto" w:fill="F2F2F2" w:themeFill="background1" w:themeFillShade="F2"/>
          </w:tcPr>
          <w:p w14:paraId="432FF564" w14:textId="77777777" w:rsidR="00923A92" w:rsidRPr="00923A92" w:rsidRDefault="00923A92" w:rsidP="00923A92">
            <w:pPr>
              <w:widowControl w:val="0"/>
              <w:suppressAutoHyphens w:val="0"/>
              <w:spacing w:after="0" w:line="240" w:lineRule="auto"/>
              <w:contextualSpacing/>
              <w:rPr>
                <w:iCs/>
                <w:sz w:val="20"/>
                <w:szCs w:val="20"/>
                <w:lang w:val="ro-RO"/>
              </w:rPr>
            </w:pPr>
            <w:r w:rsidRPr="00923A92">
              <w:rPr>
                <w:iCs/>
                <w:sz w:val="20"/>
                <w:szCs w:val="20"/>
                <w:lang w:val="ro-RO"/>
              </w:rPr>
              <w:t>Broadband</w:t>
            </w:r>
          </w:p>
        </w:tc>
        <w:tc>
          <w:tcPr>
            <w:tcW w:w="1692" w:type="dxa"/>
            <w:shd w:val="clear" w:color="auto" w:fill="F2F2F2"/>
          </w:tcPr>
          <w:p w14:paraId="21E5CE67" w14:textId="64FFE2DD"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color w:val="000000"/>
                <w:sz w:val="20"/>
                <w:szCs w:val="20"/>
                <w:lang w:val="ro-RO"/>
              </w:rPr>
              <w:t>3,965</w:t>
            </w:r>
          </w:p>
        </w:tc>
        <w:tc>
          <w:tcPr>
            <w:tcW w:w="1080" w:type="dxa"/>
            <w:shd w:val="clear" w:color="auto" w:fill="F2F2F2"/>
          </w:tcPr>
          <w:p w14:paraId="082C0D6E" w14:textId="71B44E36"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color w:val="000000"/>
                <w:sz w:val="20"/>
                <w:szCs w:val="20"/>
                <w:lang w:val="ro-RO"/>
              </w:rPr>
              <w:t>3,543</w:t>
            </w:r>
          </w:p>
        </w:tc>
        <w:tc>
          <w:tcPr>
            <w:tcW w:w="1278" w:type="dxa"/>
            <w:shd w:val="clear" w:color="auto" w:fill="F2F2F2"/>
            <w:vAlign w:val="bottom"/>
          </w:tcPr>
          <w:p w14:paraId="1D0BD76E" w14:textId="4DE6D2D8"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
                <w:bCs/>
                <w:iCs/>
                <w:color w:val="002060"/>
                <w:sz w:val="20"/>
                <w:szCs w:val="20"/>
                <w:lang w:val="ro-RO"/>
              </w:rPr>
            </w:pPr>
            <w:r w:rsidRPr="00581671">
              <w:rPr>
                <w:rFonts w:eastAsia="Times New Roman" w:cs="Calibri"/>
                <w:b/>
                <w:bCs/>
                <w:color w:val="000000"/>
                <w:sz w:val="20"/>
                <w:szCs w:val="20"/>
                <w:lang w:val="ro-RO"/>
              </w:rPr>
              <w:t>11,9%</w:t>
            </w:r>
          </w:p>
        </w:tc>
      </w:tr>
      <w:tr w:rsidR="00923A92" w:rsidRPr="00923A92" w14:paraId="0DA15820" w14:textId="77777777" w:rsidTr="00923A92">
        <w:trPr>
          <w:trHeight w:val="215"/>
        </w:trPr>
        <w:tc>
          <w:tcPr>
            <w:cnfStyle w:val="001000000000" w:firstRow="0" w:lastRow="0" w:firstColumn="1" w:lastColumn="0" w:oddVBand="0" w:evenVBand="0" w:oddHBand="0" w:evenHBand="0" w:firstRowFirstColumn="0" w:firstRowLastColumn="0" w:lastRowFirstColumn="0" w:lastRowLastColumn="0"/>
            <w:tcW w:w="5688" w:type="dxa"/>
          </w:tcPr>
          <w:p w14:paraId="41E8D7A2" w14:textId="77777777" w:rsidR="00923A92" w:rsidRPr="00923A92" w:rsidRDefault="00923A92" w:rsidP="00923A92">
            <w:pPr>
              <w:widowControl w:val="0"/>
              <w:suppressAutoHyphens w:val="0"/>
              <w:spacing w:after="0" w:line="240" w:lineRule="auto"/>
              <w:contextualSpacing/>
              <w:rPr>
                <w:iCs/>
                <w:sz w:val="20"/>
                <w:szCs w:val="20"/>
                <w:lang w:val="ro-RO"/>
              </w:rPr>
            </w:pPr>
            <w:r w:rsidRPr="00923A92">
              <w:rPr>
                <w:iCs/>
                <w:sz w:val="20"/>
                <w:szCs w:val="20"/>
                <w:lang w:val="ro-RO"/>
              </w:rPr>
              <w:t>Servicii mobile</w:t>
            </w:r>
          </w:p>
        </w:tc>
        <w:tc>
          <w:tcPr>
            <w:tcW w:w="1692" w:type="dxa"/>
          </w:tcPr>
          <w:p w14:paraId="1CA527C3" w14:textId="631082BC"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sz w:val="20"/>
                <w:szCs w:val="20"/>
                <w:lang w:val="ro-RO"/>
              </w:rPr>
              <w:t>4,528</w:t>
            </w:r>
          </w:p>
        </w:tc>
        <w:tc>
          <w:tcPr>
            <w:tcW w:w="1080" w:type="dxa"/>
          </w:tcPr>
          <w:p w14:paraId="06F32961" w14:textId="2530F376"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sz w:val="20"/>
                <w:szCs w:val="20"/>
                <w:lang w:val="ro-RO"/>
              </w:rPr>
              <w:t>3,911</w:t>
            </w:r>
          </w:p>
        </w:tc>
        <w:tc>
          <w:tcPr>
            <w:tcW w:w="1278" w:type="dxa"/>
            <w:vAlign w:val="bottom"/>
          </w:tcPr>
          <w:p w14:paraId="398710EE" w14:textId="71ECE470"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
                <w:bCs/>
                <w:iCs/>
                <w:color w:val="002060"/>
                <w:sz w:val="20"/>
                <w:szCs w:val="20"/>
                <w:lang w:val="ro-RO"/>
              </w:rPr>
            </w:pPr>
            <w:r w:rsidRPr="00581671">
              <w:rPr>
                <w:rFonts w:eastAsia="Times New Roman" w:cs="Calibri"/>
                <w:b/>
                <w:bCs/>
                <w:sz w:val="20"/>
                <w:szCs w:val="20"/>
                <w:lang w:val="ro-RO"/>
              </w:rPr>
              <w:t>15,8%</w:t>
            </w:r>
          </w:p>
        </w:tc>
      </w:tr>
      <w:tr w:rsidR="00581671" w:rsidRPr="00923A92" w14:paraId="3EC72ACF" w14:textId="77777777" w:rsidTr="00923A92">
        <w:trPr>
          <w:trHeight w:val="278"/>
        </w:trPr>
        <w:tc>
          <w:tcPr>
            <w:cnfStyle w:val="001000000000" w:firstRow="0" w:lastRow="0" w:firstColumn="1" w:lastColumn="0" w:oddVBand="0" w:evenVBand="0" w:oddHBand="0" w:evenHBand="0" w:firstRowFirstColumn="0" w:firstRowLastColumn="0" w:lastRowFirstColumn="0" w:lastRowLastColumn="0"/>
            <w:tcW w:w="5688" w:type="dxa"/>
            <w:shd w:val="clear" w:color="auto" w:fill="F2F2F2" w:themeFill="background1" w:themeFillShade="F2"/>
          </w:tcPr>
          <w:p w14:paraId="01BE790E" w14:textId="77777777" w:rsidR="00923A92" w:rsidRPr="00923A92" w:rsidRDefault="00923A92" w:rsidP="00923A92">
            <w:pPr>
              <w:widowControl w:val="0"/>
              <w:suppressAutoHyphens w:val="0"/>
              <w:spacing w:after="0" w:line="240" w:lineRule="auto"/>
              <w:contextualSpacing/>
              <w:rPr>
                <w:iCs/>
                <w:sz w:val="20"/>
                <w:szCs w:val="20"/>
                <w:lang w:val="ro-RO"/>
              </w:rPr>
            </w:pPr>
            <w:r w:rsidRPr="00923A92">
              <w:rPr>
                <w:iCs/>
                <w:sz w:val="20"/>
                <w:szCs w:val="20"/>
                <w:lang w:val="ro-RO"/>
              </w:rPr>
              <w:t>Telefonie fixă</w:t>
            </w:r>
          </w:p>
        </w:tc>
        <w:tc>
          <w:tcPr>
            <w:tcW w:w="1692" w:type="dxa"/>
            <w:shd w:val="clear" w:color="auto" w:fill="F2F2F2"/>
          </w:tcPr>
          <w:p w14:paraId="0336AEC2" w14:textId="1AAD09CD"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color w:val="000000"/>
                <w:sz w:val="20"/>
                <w:szCs w:val="20"/>
                <w:lang w:val="ro-RO"/>
              </w:rPr>
              <w:t xml:space="preserve">     956  </w:t>
            </w:r>
          </w:p>
        </w:tc>
        <w:tc>
          <w:tcPr>
            <w:tcW w:w="1080" w:type="dxa"/>
            <w:shd w:val="clear" w:color="auto" w:fill="F2F2F2"/>
          </w:tcPr>
          <w:p w14:paraId="63DB0372" w14:textId="1D14F4AB"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color w:val="000000"/>
                <w:sz w:val="20"/>
                <w:szCs w:val="20"/>
                <w:lang w:val="ro-RO"/>
              </w:rPr>
              <w:t xml:space="preserve">     1,011 </w:t>
            </w:r>
          </w:p>
        </w:tc>
        <w:tc>
          <w:tcPr>
            <w:tcW w:w="1278" w:type="dxa"/>
            <w:shd w:val="clear" w:color="auto" w:fill="F2F2F2"/>
            <w:vAlign w:val="bottom"/>
          </w:tcPr>
          <w:p w14:paraId="64201B60" w14:textId="52547BF9"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
                <w:bCs/>
                <w:iCs/>
                <w:color w:val="002060"/>
                <w:sz w:val="20"/>
                <w:szCs w:val="20"/>
                <w:lang w:val="ro-RO"/>
              </w:rPr>
            </w:pPr>
            <w:r w:rsidRPr="00581671">
              <w:rPr>
                <w:rFonts w:eastAsia="Times New Roman" w:cs="Calibri"/>
                <w:b/>
                <w:bCs/>
                <w:color w:val="000000"/>
                <w:sz w:val="20"/>
                <w:szCs w:val="20"/>
                <w:lang w:val="ro-RO"/>
              </w:rPr>
              <w:t>-5,4%</w:t>
            </w:r>
          </w:p>
        </w:tc>
      </w:tr>
      <w:tr w:rsidR="00923A92" w:rsidRPr="00923A92" w14:paraId="7364A798" w14:textId="77777777" w:rsidTr="00923A92">
        <w:trPr>
          <w:trHeight w:val="206"/>
        </w:trPr>
        <w:tc>
          <w:tcPr>
            <w:cnfStyle w:val="001000000000" w:firstRow="0" w:lastRow="0" w:firstColumn="1" w:lastColumn="0" w:oddVBand="0" w:evenVBand="0" w:oddHBand="0" w:evenHBand="0" w:firstRowFirstColumn="0" w:firstRowLastColumn="0" w:lastRowFirstColumn="0" w:lastRowLastColumn="0"/>
            <w:tcW w:w="5688" w:type="dxa"/>
          </w:tcPr>
          <w:p w14:paraId="79C2277B" w14:textId="77777777" w:rsidR="00923A92" w:rsidRPr="00923A92" w:rsidRDefault="00923A92" w:rsidP="00923A92">
            <w:pPr>
              <w:widowControl w:val="0"/>
              <w:suppressAutoHyphens w:val="0"/>
              <w:spacing w:after="0" w:line="240" w:lineRule="auto"/>
              <w:contextualSpacing/>
              <w:rPr>
                <w:iCs/>
                <w:color w:val="002060"/>
                <w:sz w:val="20"/>
                <w:szCs w:val="20"/>
                <w:lang w:val="ro-RO"/>
              </w:rPr>
            </w:pPr>
            <w:r w:rsidRPr="00923A92">
              <w:rPr>
                <w:iCs/>
                <w:color w:val="002060"/>
                <w:sz w:val="20"/>
                <w:szCs w:val="20"/>
                <w:lang w:val="ro-RO"/>
              </w:rPr>
              <w:t>Spania</w:t>
            </w:r>
          </w:p>
        </w:tc>
        <w:tc>
          <w:tcPr>
            <w:tcW w:w="1692" w:type="dxa"/>
          </w:tcPr>
          <w:p w14:paraId="2871832F" w14:textId="636771E1" w:rsidR="00923A92" w:rsidRPr="00923A92" w:rsidRDefault="00923A92" w:rsidP="00923A92">
            <w:pPr>
              <w:widowControl w:val="0"/>
              <w:suppressAutoHyphens w:val="0"/>
              <w:spacing w:after="0"/>
              <w:contextualSpacing/>
              <w:jc w:val="center"/>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sz w:val="20"/>
                <w:szCs w:val="20"/>
                <w:lang w:val="ro-RO"/>
              </w:rPr>
              <w:t> </w:t>
            </w:r>
          </w:p>
        </w:tc>
        <w:tc>
          <w:tcPr>
            <w:tcW w:w="1080" w:type="dxa"/>
          </w:tcPr>
          <w:p w14:paraId="25C27253" w14:textId="1288AEB1"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sz w:val="20"/>
                <w:szCs w:val="20"/>
                <w:lang w:val="ro-RO"/>
              </w:rPr>
              <w:t> </w:t>
            </w:r>
          </w:p>
        </w:tc>
        <w:tc>
          <w:tcPr>
            <w:tcW w:w="1278" w:type="dxa"/>
          </w:tcPr>
          <w:p w14:paraId="2FA8A23C" w14:textId="20A269A2"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
                <w:bCs/>
                <w:iCs/>
                <w:color w:val="002060"/>
                <w:sz w:val="20"/>
                <w:szCs w:val="20"/>
                <w:lang w:val="ro-RO"/>
              </w:rPr>
            </w:pPr>
            <w:r w:rsidRPr="00581671">
              <w:rPr>
                <w:rFonts w:eastAsia="Times New Roman" w:cs="Calibri"/>
                <w:b/>
                <w:bCs/>
                <w:color w:val="002060"/>
                <w:sz w:val="20"/>
                <w:szCs w:val="20"/>
                <w:lang w:val="ro-RO"/>
              </w:rPr>
              <w:t> </w:t>
            </w:r>
          </w:p>
        </w:tc>
      </w:tr>
      <w:tr w:rsidR="00581671" w:rsidRPr="00923A92" w14:paraId="4C918156" w14:textId="77777777" w:rsidTr="00923A92">
        <w:trPr>
          <w:trHeight w:val="47"/>
        </w:trPr>
        <w:tc>
          <w:tcPr>
            <w:cnfStyle w:val="001000000000" w:firstRow="0" w:lastRow="0" w:firstColumn="1" w:lastColumn="0" w:oddVBand="0" w:evenVBand="0" w:oddHBand="0" w:evenHBand="0" w:firstRowFirstColumn="0" w:firstRowLastColumn="0" w:lastRowFirstColumn="0" w:lastRowLastColumn="0"/>
            <w:tcW w:w="5688" w:type="dxa"/>
            <w:shd w:val="clear" w:color="auto" w:fill="F2F2F2" w:themeFill="background1" w:themeFillShade="F2"/>
          </w:tcPr>
          <w:p w14:paraId="777E5D37" w14:textId="77777777" w:rsidR="00923A92" w:rsidRPr="00923A92" w:rsidRDefault="00923A92" w:rsidP="00923A92">
            <w:pPr>
              <w:widowControl w:val="0"/>
              <w:suppressAutoHyphens w:val="0"/>
              <w:spacing w:after="0" w:line="240" w:lineRule="auto"/>
              <w:contextualSpacing/>
              <w:rPr>
                <w:iCs/>
                <w:sz w:val="20"/>
                <w:szCs w:val="20"/>
                <w:lang w:val="ro-RO"/>
              </w:rPr>
            </w:pPr>
            <w:r w:rsidRPr="00923A92">
              <w:rPr>
                <w:iCs/>
                <w:sz w:val="20"/>
                <w:szCs w:val="20"/>
                <w:lang w:val="ro-RO"/>
              </w:rPr>
              <w:t xml:space="preserve">Servicii mobile </w:t>
            </w:r>
          </w:p>
        </w:tc>
        <w:tc>
          <w:tcPr>
            <w:tcW w:w="1692" w:type="dxa"/>
            <w:shd w:val="clear" w:color="auto" w:fill="F2F2F2"/>
          </w:tcPr>
          <w:p w14:paraId="45CAEF81" w14:textId="11BB4193"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color w:val="000000"/>
                <w:sz w:val="20"/>
                <w:szCs w:val="20"/>
                <w:lang w:val="ro-RO"/>
              </w:rPr>
              <w:t>3,434</w:t>
            </w:r>
          </w:p>
        </w:tc>
        <w:tc>
          <w:tcPr>
            <w:tcW w:w="1080" w:type="dxa"/>
            <w:shd w:val="clear" w:color="auto" w:fill="F2F2F2"/>
          </w:tcPr>
          <w:p w14:paraId="155310B1" w14:textId="024CD682"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color w:val="000000"/>
                <w:sz w:val="20"/>
                <w:szCs w:val="20"/>
                <w:lang w:val="ro-RO"/>
              </w:rPr>
              <w:t>2,663</w:t>
            </w:r>
          </w:p>
        </w:tc>
        <w:tc>
          <w:tcPr>
            <w:tcW w:w="1278" w:type="dxa"/>
            <w:shd w:val="clear" w:color="auto" w:fill="F2F2F2"/>
            <w:vAlign w:val="bottom"/>
          </w:tcPr>
          <w:p w14:paraId="2EB40E33" w14:textId="474031DC"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
                <w:bCs/>
                <w:iCs/>
                <w:color w:val="002060"/>
                <w:sz w:val="20"/>
                <w:szCs w:val="20"/>
                <w:lang w:val="ro-RO"/>
              </w:rPr>
            </w:pPr>
            <w:r w:rsidRPr="00581671">
              <w:rPr>
                <w:rFonts w:eastAsia="Times New Roman" w:cs="Calibri"/>
                <w:b/>
                <w:bCs/>
                <w:color w:val="000000"/>
                <w:sz w:val="20"/>
                <w:szCs w:val="20"/>
                <w:lang w:val="ro-RO"/>
              </w:rPr>
              <w:t>29%</w:t>
            </w:r>
          </w:p>
        </w:tc>
      </w:tr>
      <w:tr w:rsidR="00923A92" w:rsidRPr="00923A92" w14:paraId="0984F5DF" w14:textId="77777777" w:rsidTr="00923A92">
        <w:trPr>
          <w:trHeight w:val="161"/>
        </w:trPr>
        <w:tc>
          <w:tcPr>
            <w:cnfStyle w:val="001000000000" w:firstRow="0" w:lastRow="0" w:firstColumn="1" w:lastColumn="0" w:oddVBand="0" w:evenVBand="0" w:oddHBand="0" w:evenHBand="0" w:firstRowFirstColumn="0" w:firstRowLastColumn="0" w:lastRowFirstColumn="0" w:lastRowLastColumn="0"/>
            <w:tcW w:w="5688" w:type="dxa"/>
          </w:tcPr>
          <w:p w14:paraId="051B8CAC" w14:textId="77777777" w:rsidR="00923A92" w:rsidRPr="00923A92" w:rsidRDefault="00923A92" w:rsidP="00923A92">
            <w:pPr>
              <w:widowControl w:val="0"/>
              <w:suppressAutoHyphens w:val="0"/>
              <w:spacing w:after="0" w:line="240" w:lineRule="auto"/>
              <w:contextualSpacing/>
              <w:rPr>
                <w:iCs/>
                <w:sz w:val="20"/>
                <w:szCs w:val="20"/>
                <w:lang w:val="ro-RO"/>
              </w:rPr>
            </w:pPr>
            <w:r w:rsidRPr="00923A92">
              <w:rPr>
                <w:iCs/>
                <w:sz w:val="20"/>
                <w:szCs w:val="20"/>
                <w:lang w:val="ro-RO"/>
              </w:rPr>
              <w:t>Broadband</w:t>
            </w:r>
          </w:p>
        </w:tc>
        <w:tc>
          <w:tcPr>
            <w:tcW w:w="1692" w:type="dxa"/>
          </w:tcPr>
          <w:p w14:paraId="0CF06074" w14:textId="04C5A4E9"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sz w:val="20"/>
                <w:szCs w:val="20"/>
                <w:lang w:val="ro-RO"/>
              </w:rPr>
              <w:t xml:space="preserve">            658  </w:t>
            </w:r>
          </w:p>
        </w:tc>
        <w:tc>
          <w:tcPr>
            <w:tcW w:w="1080" w:type="dxa"/>
          </w:tcPr>
          <w:p w14:paraId="7CB0FDEE" w14:textId="2D5425E9"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sz w:val="20"/>
                <w:szCs w:val="20"/>
                <w:lang w:val="ro-RO"/>
              </w:rPr>
              <w:t xml:space="preserve">           327 </w:t>
            </w:r>
          </w:p>
        </w:tc>
        <w:tc>
          <w:tcPr>
            <w:tcW w:w="1278" w:type="dxa"/>
            <w:vAlign w:val="bottom"/>
          </w:tcPr>
          <w:p w14:paraId="2D0A91B7" w14:textId="3851D788"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
                <w:bCs/>
                <w:iCs/>
                <w:color w:val="002060"/>
                <w:sz w:val="20"/>
                <w:szCs w:val="20"/>
                <w:lang w:val="ro-RO"/>
              </w:rPr>
            </w:pPr>
            <w:r w:rsidRPr="00581671">
              <w:rPr>
                <w:rFonts w:eastAsia="Times New Roman" w:cs="Calibri"/>
                <w:b/>
                <w:bCs/>
                <w:sz w:val="20"/>
                <w:szCs w:val="20"/>
                <w:lang w:val="ro-RO"/>
              </w:rPr>
              <w:t>101,2%</w:t>
            </w:r>
          </w:p>
        </w:tc>
      </w:tr>
      <w:tr w:rsidR="00923A92" w:rsidRPr="00581671" w14:paraId="217252BD" w14:textId="77777777" w:rsidTr="00923A92">
        <w:trPr>
          <w:trHeight w:val="161"/>
        </w:trPr>
        <w:tc>
          <w:tcPr>
            <w:cnfStyle w:val="001000000000" w:firstRow="0" w:lastRow="0" w:firstColumn="1" w:lastColumn="0" w:oddVBand="0" w:evenVBand="0" w:oddHBand="0" w:evenHBand="0" w:firstRowFirstColumn="0" w:firstRowLastColumn="0" w:lastRowFirstColumn="0" w:lastRowLastColumn="0"/>
            <w:tcW w:w="5688" w:type="dxa"/>
            <w:shd w:val="clear" w:color="auto" w:fill="F2F2F2" w:themeFill="background1" w:themeFillShade="F2"/>
          </w:tcPr>
          <w:p w14:paraId="4CD91E10" w14:textId="77777777" w:rsidR="00923A92" w:rsidRPr="00923A92" w:rsidRDefault="00923A92" w:rsidP="00923A92">
            <w:pPr>
              <w:widowControl w:val="0"/>
              <w:suppressAutoHyphens w:val="0"/>
              <w:spacing w:after="0" w:line="240" w:lineRule="auto"/>
              <w:contextualSpacing/>
              <w:rPr>
                <w:iCs/>
                <w:sz w:val="20"/>
                <w:szCs w:val="20"/>
                <w:lang w:val="ro-RO"/>
              </w:rPr>
            </w:pPr>
            <w:r w:rsidRPr="00923A92">
              <w:rPr>
                <w:iCs/>
                <w:sz w:val="20"/>
                <w:szCs w:val="20"/>
                <w:lang w:val="ro-RO"/>
              </w:rPr>
              <w:t>Telefonie fixă</w:t>
            </w:r>
          </w:p>
        </w:tc>
        <w:tc>
          <w:tcPr>
            <w:tcW w:w="1692" w:type="dxa"/>
            <w:shd w:val="clear" w:color="auto" w:fill="F2F2F2"/>
          </w:tcPr>
          <w:p w14:paraId="4063328A" w14:textId="5F3C5E09"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color w:val="000000"/>
                <w:sz w:val="20"/>
                <w:szCs w:val="20"/>
                <w:lang w:val="ro-RO"/>
              </w:rPr>
              <w:t>223</w:t>
            </w:r>
          </w:p>
        </w:tc>
        <w:tc>
          <w:tcPr>
            <w:tcW w:w="1080" w:type="dxa"/>
            <w:shd w:val="clear" w:color="auto" w:fill="F2F2F2"/>
          </w:tcPr>
          <w:p w14:paraId="3896B319" w14:textId="29F05D28"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color w:val="000000"/>
                <w:sz w:val="20"/>
                <w:szCs w:val="20"/>
                <w:lang w:val="ro-RO"/>
              </w:rPr>
              <w:t>110</w:t>
            </w:r>
          </w:p>
        </w:tc>
        <w:tc>
          <w:tcPr>
            <w:tcW w:w="1278" w:type="dxa"/>
            <w:shd w:val="clear" w:color="auto" w:fill="F2F2F2"/>
            <w:vAlign w:val="bottom"/>
          </w:tcPr>
          <w:p w14:paraId="08618D31" w14:textId="6E86477C"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
                <w:bCs/>
                <w:iCs/>
                <w:color w:val="002060"/>
                <w:sz w:val="20"/>
                <w:szCs w:val="20"/>
                <w:lang w:val="ro-RO"/>
              </w:rPr>
            </w:pPr>
            <w:r w:rsidRPr="00581671">
              <w:rPr>
                <w:rFonts w:eastAsia="Times New Roman" w:cs="Calibri"/>
                <w:b/>
                <w:bCs/>
                <w:color w:val="000000"/>
                <w:sz w:val="20"/>
                <w:szCs w:val="20"/>
                <w:lang w:val="ro-RO"/>
              </w:rPr>
              <w:t>102,7%</w:t>
            </w:r>
          </w:p>
        </w:tc>
      </w:tr>
      <w:tr w:rsidR="00923A92" w:rsidRPr="00923A92" w14:paraId="42A69F8D" w14:textId="77777777" w:rsidTr="00923A92">
        <w:trPr>
          <w:trHeight w:val="251"/>
        </w:trPr>
        <w:tc>
          <w:tcPr>
            <w:cnfStyle w:val="001000000000" w:firstRow="0" w:lastRow="0" w:firstColumn="1" w:lastColumn="0" w:oddVBand="0" w:evenVBand="0" w:oddHBand="0" w:evenHBand="0" w:firstRowFirstColumn="0" w:firstRowLastColumn="0" w:lastRowFirstColumn="0" w:lastRowLastColumn="0"/>
            <w:tcW w:w="5688" w:type="dxa"/>
          </w:tcPr>
          <w:p w14:paraId="39DCF081" w14:textId="77777777" w:rsidR="00923A92" w:rsidRPr="00923A92" w:rsidRDefault="00923A92" w:rsidP="00923A92">
            <w:pPr>
              <w:widowControl w:val="0"/>
              <w:tabs>
                <w:tab w:val="left" w:pos="1116"/>
              </w:tabs>
              <w:suppressAutoHyphens w:val="0"/>
              <w:spacing w:after="0" w:line="240" w:lineRule="auto"/>
              <w:contextualSpacing/>
              <w:rPr>
                <w:iCs/>
                <w:color w:val="002060"/>
                <w:sz w:val="20"/>
                <w:szCs w:val="20"/>
                <w:lang w:val="ro-RO"/>
              </w:rPr>
            </w:pPr>
            <w:r w:rsidRPr="00923A92">
              <w:rPr>
                <w:iCs/>
                <w:color w:val="002060"/>
                <w:sz w:val="20"/>
                <w:szCs w:val="20"/>
                <w:lang w:val="ro-RO"/>
              </w:rPr>
              <w:t>Italia</w:t>
            </w:r>
            <w:r w:rsidRPr="00923A92">
              <w:rPr>
                <w:iCs/>
                <w:color w:val="002060"/>
                <w:sz w:val="20"/>
                <w:szCs w:val="20"/>
                <w:lang w:val="ro-RO"/>
              </w:rPr>
              <w:tab/>
            </w:r>
          </w:p>
        </w:tc>
        <w:tc>
          <w:tcPr>
            <w:tcW w:w="1692" w:type="dxa"/>
          </w:tcPr>
          <w:p w14:paraId="6C036884" w14:textId="001285F5"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sz w:val="20"/>
                <w:szCs w:val="20"/>
                <w:lang w:val="ro-RO"/>
              </w:rPr>
              <w:t> </w:t>
            </w:r>
          </w:p>
        </w:tc>
        <w:tc>
          <w:tcPr>
            <w:tcW w:w="1080" w:type="dxa"/>
          </w:tcPr>
          <w:p w14:paraId="59CD801F" w14:textId="61A9C418"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sz w:val="20"/>
                <w:szCs w:val="20"/>
                <w:lang w:val="ro-RO"/>
              </w:rPr>
              <w:t> </w:t>
            </w:r>
          </w:p>
        </w:tc>
        <w:tc>
          <w:tcPr>
            <w:tcW w:w="1278" w:type="dxa"/>
          </w:tcPr>
          <w:p w14:paraId="3BB8FBF4" w14:textId="48D4C07C"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
                <w:bCs/>
                <w:iCs/>
                <w:color w:val="002060"/>
                <w:sz w:val="20"/>
                <w:szCs w:val="20"/>
                <w:lang w:val="ro-RO"/>
              </w:rPr>
            </w:pPr>
            <w:r w:rsidRPr="00581671">
              <w:rPr>
                <w:rFonts w:eastAsia="Times New Roman" w:cs="Calibri"/>
                <w:b/>
                <w:bCs/>
                <w:color w:val="002060"/>
                <w:sz w:val="20"/>
                <w:szCs w:val="20"/>
                <w:lang w:val="ro-RO"/>
              </w:rPr>
              <w:t> </w:t>
            </w:r>
          </w:p>
        </w:tc>
      </w:tr>
      <w:tr w:rsidR="00581671" w:rsidRPr="00923A92" w14:paraId="5F466B2B" w14:textId="77777777" w:rsidTr="00923A92">
        <w:trPr>
          <w:trHeight w:val="206"/>
        </w:trPr>
        <w:tc>
          <w:tcPr>
            <w:cnfStyle w:val="001000000000" w:firstRow="0" w:lastRow="0" w:firstColumn="1" w:lastColumn="0" w:oddVBand="0" w:evenVBand="0" w:oddHBand="0" w:evenHBand="0" w:firstRowFirstColumn="0" w:firstRowLastColumn="0" w:lastRowFirstColumn="0" w:lastRowLastColumn="0"/>
            <w:tcW w:w="5688" w:type="dxa"/>
            <w:shd w:val="clear" w:color="auto" w:fill="F2F2F2" w:themeFill="background1" w:themeFillShade="F2"/>
          </w:tcPr>
          <w:p w14:paraId="0D43AAE2" w14:textId="77777777" w:rsidR="00923A92" w:rsidRPr="00923A92" w:rsidRDefault="00923A92" w:rsidP="00923A92">
            <w:pPr>
              <w:widowControl w:val="0"/>
              <w:suppressAutoHyphens w:val="0"/>
              <w:spacing w:after="0" w:line="240" w:lineRule="auto"/>
              <w:contextualSpacing/>
              <w:rPr>
                <w:iCs/>
                <w:sz w:val="20"/>
                <w:szCs w:val="20"/>
                <w:lang w:val="ro-RO"/>
              </w:rPr>
            </w:pPr>
            <w:r w:rsidRPr="00923A92">
              <w:rPr>
                <w:iCs/>
                <w:sz w:val="20"/>
                <w:szCs w:val="20"/>
                <w:lang w:val="ro-RO"/>
              </w:rPr>
              <w:t>Servicii mobile</w:t>
            </w:r>
          </w:p>
        </w:tc>
        <w:tc>
          <w:tcPr>
            <w:tcW w:w="1692" w:type="dxa"/>
            <w:shd w:val="clear" w:color="auto" w:fill="F2F2F2"/>
          </w:tcPr>
          <w:p w14:paraId="77FF5E97" w14:textId="24E92E83"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color w:val="000000"/>
                <w:sz w:val="20"/>
                <w:szCs w:val="20"/>
                <w:lang w:val="ro-RO"/>
              </w:rPr>
              <w:t>354</w:t>
            </w:r>
          </w:p>
        </w:tc>
        <w:tc>
          <w:tcPr>
            <w:tcW w:w="1080" w:type="dxa"/>
            <w:shd w:val="clear" w:color="auto" w:fill="F2F2F2"/>
          </w:tcPr>
          <w:p w14:paraId="1ADCB36E" w14:textId="20AA2CC9"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Cs/>
                <w:iCs/>
                <w:sz w:val="20"/>
                <w:szCs w:val="20"/>
                <w:lang w:val="ro-RO"/>
              </w:rPr>
            </w:pPr>
            <w:r w:rsidRPr="00581671">
              <w:rPr>
                <w:rFonts w:eastAsia="Times New Roman" w:cs="Calibri"/>
                <w:color w:val="000000"/>
                <w:sz w:val="20"/>
                <w:szCs w:val="20"/>
                <w:lang w:val="ro-RO"/>
              </w:rPr>
              <w:t>297</w:t>
            </w:r>
          </w:p>
        </w:tc>
        <w:tc>
          <w:tcPr>
            <w:tcW w:w="1278" w:type="dxa"/>
            <w:shd w:val="clear" w:color="auto" w:fill="F2F2F2"/>
            <w:vAlign w:val="bottom"/>
          </w:tcPr>
          <w:p w14:paraId="1FDC3E15" w14:textId="04A0D5CD"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
                <w:bCs/>
                <w:iCs/>
                <w:color w:val="002060"/>
                <w:sz w:val="20"/>
                <w:szCs w:val="20"/>
                <w:lang w:val="ro-RO"/>
              </w:rPr>
            </w:pPr>
            <w:r w:rsidRPr="00581671">
              <w:rPr>
                <w:rFonts w:eastAsia="Times New Roman" w:cs="Calibri"/>
                <w:b/>
                <w:bCs/>
                <w:color w:val="000000"/>
                <w:sz w:val="20"/>
                <w:szCs w:val="20"/>
                <w:lang w:val="ro-RO"/>
              </w:rPr>
              <w:t>19,2%</w:t>
            </w:r>
          </w:p>
        </w:tc>
      </w:tr>
      <w:tr w:rsidR="00923A92" w:rsidRPr="00923A92" w14:paraId="4706C8CF" w14:textId="77777777" w:rsidTr="00923A92">
        <w:trPr>
          <w:trHeight w:val="225"/>
        </w:trPr>
        <w:tc>
          <w:tcPr>
            <w:cnfStyle w:val="001000000000" w:firstRow="0" w:lastRow="0" w:firstColumn="1" w:lastColumn="0" w:oddVBand="0" w:evenVBand="0" w:oddHBand="0" w:evenHBand="0" w:firstRowFirstColumn="0" w:firstRowLastColumn="0" w:lastRowFirstColumn="0" w:lastRowLastColumn="0"/>
            <w:tcW w:w="5688" w:type="dxa"/>
          </w:tcPr>
          <w:p w14:paraId="2B8A2BA9" w14:textId="77777777" w:rsidR="00923A92" w:rsidRPr="00923A92" w:rsidRDefault="00923A92" w:rsidP="00923A92">
            <w:pPr>
              <w:widowControl w:val="0"/>
              <w:suppressAutoHyphens w:val="0"/>
              <w:spacing w:after="0" w:line="240" w:lineRule="auto"/>
              <w:contextualSpacing/>
              <w:rPr>
                <w:iCs/>
                <w:color w:val="002060"/>
                <w:sz w:val="20"/>
                <w:szCs w:val="20"/>
                <w:lang w:val="ro-RO"/>
              </w:rPr>
            </w:pPr>
            <w:r w:rsidRPr="00923A92">
              <w:rPr>
                <w:iCs/>
                <w:color w:val="002060"/>
                <w:sz w:val="20"/>
                <w:szCs w:val="20"/>
                <w:lang w:val="ro-RO"/>
              </w:rPr>
              <w:t>TOTAL</w:t>
            </w:r>
          </w:p>
        </w:tc>
        <w:tc>
          <w:tcPr>
            <w:tcW w:w="1692" w:type="dxa"/>
          </w:tcPr>
          <w:p w14:paraId="6EB9C078" w14:textId="66037701"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
                <w:bCs/>
                <w:iCs/>
                <w:color w:val="002054"/>
                <w:sz w:val="20"/>
                <w:szCs w:val="20"/>
                <w:lang w:val="ro-RO"/>
              </w:rPr>
            </w:pPr>
            <w:r w:rsidRPr="00581671">
              <w:rPr>
                <w:rFonts w:eastAsia="Times New Roman" w:cs="Calibri"/>
                <w:b/>
                <w:bCs/>
                <w:color w:val="002054"/>
                <w:sz w:val="20"/>
                <w:szCs w:val="20"/>
                <w:lang w:val="ro-RO"/>
              </w:rPr>
              <w:t>19</w:t>
            </w:r>
            <w:r w:rsidR="00424B14" w:rsidRPr="00581671">
              <w:rPr>
                <w:rFonts w:eastAsia="Times New Roman" w:cs="Calibri"/>
                <w:b/>
                <w:bCs/>
                <w:color w:val="002054"/>
                <w:sz w:val="20"/>
                <w:szCs w:val="20"/>
                <w:lang w:val="ro-RO"/>
              </w:rPr>
              <w:t>,</w:t>
            </w:r>
            <w:r w:rsidRPr="00581671">
              <w:rPr>
                <w:rFonts w:eastAsia="Times New Roman" w:cs="Calibri"/>
                <w:b/>
                <w:bCs/>
                <w:color w:val="002054"/>
                <w:sz w:val="20"/>
                <w:szCs w:val="20"/>
                <w:lang w:val="ro-RO"/>
              </w:rPr>
              <w:t>389</w:t>
            </w:r>
          </w:p>
        </w:tc>
        <w:tc>
          <w:tcPr>
            <w:tcW w:w="1080" w:type="dxa"/>
          </w:tcPr>
          <w:p w14:paraId="67199FC5" w14:textId="60092DE2"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
                <w:bCs/>
                <w:iCs/>
                <w:color w:val="002054"/>
                <w:sz w:val="20"/>
                <w:szCs w:val="20"/>
                <w:lang w:val="ro-RO"/>
              </w:rPr>
            </w:pPr>
            <w:r w:rsidRPr="00581671">
              <w:rPr>
                <w:rFonts w:eastAsia="Times New Roman" w:cs="Calibri"/>
                <w:b/>
                <w:bCs/>
                <w:color w:val="002054"/>
                <w:sz w:val="20"/>
                <w:szCs w:val="20"/>
                <w:lang w:val="ro-RO"/>
              </w:rPr>
              <w:t>16</w:t>
            </w:r>
            <w:r w:rsidR="00424B14" w:rsidRPr="00581671">
              <w:rPr>
                <w:rFonts w:eastAsia="Times New Roman" w:cs="Calibri"/>
                <w:b/>
                <w:bCs/>
                <w:color w:val="002054"/>
                <w:sz w:val="20"/>
                <w:szCs w:val="20"/>
                <w:lang w:val="ro-RO"/>
              </w:rPr>
              <w:t>,</w:t>
            </w:r>
            <w:r w:rsidRPr="00581671">
              <w:rPr>
                <w:rFonts w:eastAsia="Times New Roman" w:cs="Calibri"/>
                <w:b/>
                <w:bCs/>
                <w:color w:val="002054"/>
                <w:sz w:val="20"/>
                <w:szCs w:val="20"/>
                <w:lang w:val="ro-RO"/>
              </w:rPr>
              <w:t>8</w:t>
            </w:r>
            <w:r w:rsidR="007E49D3" w:rsidRPr="00581671">
              <w:rPr>
                <w:rFonts w:eastAsia="Times New Roman" w:cs="Calibri"/>
                <w:b/>
                <w:bCs/>
                <w:color w:val="002054"/>
                <w:sz w:val="20"/>
                <w:szCs w:val="20"/>
                <w:lang w:val="ro-RO"/>
              </w:rPr>
              <w:t>2</w:t>
            </w:r>
            <w:r w:rsidRPr="00581671">
              <w:rPr>
                <w:rFonts w:eastAsia="Times New Roman" w:cs="Calibri"/>
                <w:b/>
                <w:bCs/>
                <w:color w:val="002054"/>
                <w:sz w:val="20"/>
                <w:szCs w:val="20"/>
                <w:lang w:val="ro-RO"/>
              </w:rPr>
              <w:t>2</w:t>
            </w:r>
          </w:p>
        </w:tc>
        <w:tc>
          <w:tcPr>
            <w:tcW w:w="1278" w:type="dxa"/>
          </w:tcPr>
          <w:p w14:paraId="5D134339" w14:textId="37E5667E" w:rsidR="00923A92" w:rsidRPr="00923A92" w:rsidRDefault="00923A92" w:rsidP="00923A92">
            <w:pPr>
              <w:widowControl w:val="0"/>
              <w:suppressAutoHyphens w:val="0"/>
              <w:spacing w:after="0"/>
              <w:contextualSpacing/>
              <w:jc w:val="right"/>
              <w:cnfStyle w:val="000000000000" w:firstRow="0" w:lastRow="0" w:firstColumn="0" w:lastColumn="0" w:oddVBand="0" w:evenVBand="0" w:oddHBand="0" w:evenHBand="0" w:firstRowFirstColumn="0" w:firstRowLastColumn="0" w:lastRowFirstColumn="0" w:lastRowLastColumn="0"/>
              <w:rPr>
                <w:b/>
                <w:bCs/>
                <w:iCs/>
                <w:color w:val="002060"/>
                <w:sz w:val="20"/>
                <w:szCs w:val="20"/>
                <w:lang w:val="ro-RO"/>
              </w:rPr>
            </w:pPr>
            <w:r w:rsidRPr="00581671">
              <w:rPr>
                <w:rFonts w:eastAsia="Times New Roman" w:cs="Calibri"/>
                <w:b/>
                <w:bCs/>
                <w:color w:val="002060"/>
                <w:sz w:val="20"/>
                <w:szCs w:val="20"/>
                <w:lang w:val="ro-RO"/>
              </w:rPr>
              <w:t>15,3%</w:t>
            </w:r>
          </w:p>
        </w:tc>
      </w:tr>
      <w:bookmarkEnd w:id="0"/>
    </w:tbl>
    <w:p w14:paraId="66ED9185" w14:textId="5B4DA1F4" w:rsidR="00E327F0" w:rsidRPr="00581671" w:rsidRDefault="00E327F0">
      <w:pPr>
        <w:spacing w:after="120"/>
        <w:jc w:val="both"/>
        <w:rPr>
          <w:i/>
          <w:iCs/>
          <w:lang w:val="ro-RO"/>
        </w:rPr>
      </w:pPr>
    </w:p>
    <w:p w14:paraId="08F63A3F" w14:textId="5DF1A2D3" w:rsidR="00424B14" w:rsidRPr="00581671" w:rsidRDefault="00424B14" w:rsidP="00424B14">
      <w:pPr>
        <w:suppressAutoHyphens w:val="0"/>
        <w:spacing w:afterLines="80" w:after="192" w:line="240" w:lineRule="auto"/>
        <w:jc w:val="both"/>
        <w:rPr>
          <w:b/>
          <w:i/>
          <w:color w:val="002060"/>
          <w:lang w:val="ro-RO"/>
        </w:rPr>
      </w:pPr>
      <w:r w:rsidRPr="00581671">
        <w:rPr>
          <w:b/>
          <w:i/>
          <w:color w:val="002060"/>
          <w:lang w:val="ro-RO"/>
        </w:rPr>
        <w:t xml:space="preserve">Raportul financiar poate fi consultat </w:t>
      </w:r>
      <w:hyperlink r:id="rId9" w:history="1">
        <w:r w:rsidRPr="00581671">
          <w:rPr>
            <w:rStyle w:val="Hyperlink"/>
            <w:b/>
            <w:lang w:val="ro-RO"/>
          </w:rPr>
          <w:t>aici</w:t>
        </w:r>
      </w:hyperlink>
    </w:p>
    <w:p w14:paraId="124A2BB9" w14:textId="58D1F022" w:rsidR="00424B14" w:rsidRPr="00424B14" w:rsidRDefault="00424B14" w:rsidP="00424B14">
      <w:pPr>
        <w:suppressAutoHyphens w:val="0"/>
        <w:spacing w:afterLines="80" w:after="192" w:line="240" w:lineRule="auto"/>
        <w:jc w:val="both"/>
        <w:rPr>
          <w:i/>
          <w:color w:val="002060"/>
          <w:lang w:val="ro-RO"/>
        </w:rPr>
      </w:pPr>
      <w:r w:rsidRPr="00424B14">
        <w:rPr>
          <w:b/>
          <w:i/>
          <w:color w:val="002060"/>
          <w:lang w:val="ro-RO"/>
        </w:rPr>
        <w:t>Despre Digi Communications N.V.</w:t>
      </w:r>
    </w:p>
    <w:p w14:paraId="427C1905" w14:textId="6D4BFAC3" w:rsidR="00424B14" w:rsidRPr="00424B14" w:rsidRDefault="00424B14" w:rsidP="00424B14">
      <w:pPr>
        <w:suppressAutoHyphens w:val="0"/>
        <w:rPr>
          <w:rFonts w:cs="Calibri"/>
          <w:i/>
          <w:iCs/>
          <w:color w:val="002060"/>
          <w:lang w:val="ro-RO"/>
        </w:rPr>
      </w:pPr>
      <w:r w:rsidRPr="00424B14">
        <w:rPr>
          <w:rFonts w:cs="Calibri"/>
          <w:i/>
          <w:iCs/>
          <w:noProof/>
          <w:color w:val="002060"/>
          <w:lang w:val="ro-RO"/>
        </w:rPr>
        <mc:AlternateContent>
          <mc:Choice Requires="wpg">
            <w:drawing>
              <wp:anchor distT="0" distB="0" distL="114300" distR="114300" simplePos="0" relativeHeight="251661312" behindDoc="0" locked="0" layoutInCell="1" allowOverlap="1" wp14:anchorId="6D608CD0" wp14:editId="2C06F21D">
                <wp:simplePos x="0" y="0"/>
                <wp:positionH relativeFrom="column">
                  <wp:posOffset>-773430</wp:posOffset>
                </wp:positionH>
                <wp:positionV relativeFrom="paragraph">
                  <wp:posOffset>1997075</wp:posOffset>
                </wp:positionV>
                <wp:extent cx="7543800" cy="960755"/>
                <wp:effectExtent l="0" t="0" r="0" b="0"/>
                <wp:wrapNone/>
                <wp:docPr id="15" name="Group 15"/>
                <wp:cNvGraphicFramePr/>
                <a:graphic xmlns:a="http://schemas.openxmlformats.org/drawingml/2006/main">
                  <a:graphicData uri="http://schemas.microsoft.com/office/word/2010/wordprocessingGroup">
                    <wpg:wgp>
                      <wpg:cNvGrpSpPr/>
                      <wpg:grpSpPr>
                        <a:xfrm>
                          <a:off x="0" y="0"/>
                          <a:ext cx="7543800" cy="960755"/>
                          <a:chOff x="-9525" y="-38116"/>
                          <a:chExt cx="7543800" cy="960957"/>
                        </a:xfrm>
                      </wpg:grpSpPr>
                      <wps:wsp>
                        <wps:cNvPr id="16" name="Rectangle 16"/>
                        <wps:cNvSpPr/>
                        <wps:spPr>
                          <a:xfrm>
                            <a:off x="-9525" y="-38116"/>
                            <a:ext cx="7543800" cy="859536"/>
                          </a:xfrm>
                          <a:prstGeom prst="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 name="Text Box 2"/>
                        <wps:cNvSpPr txBox="1">
                          <a:spLocks noChangeArrowheads="1"/>
                        </wps:cNvSpPr>
                        <wps:spPr bwMode="auto">
                          <a:xfrm>
                            <a:off x="2215515" y="9522"/>
                            <a:ext cx="2804160" cy="713529"/>
                          </a:xfrm>
                          <a:prstGeom prst="rect">
                            <a:avLst/>
                          </a:prstGeom>
                          <a:noFill/>
                          <a:ln w="9525">
                            <a:noFill/>
                            <a:miter lim="800000"/>
                          </a:ln>
                        </wps:spPr>
                        <wps:txbx>
                          <w:txbxContent>
                            <w:p w14:paraId="666F56D3" w14:textId="77777777" w:rsidR="00424B14" w:rsidRDefault="00424B14" w:rsidP="00424B14">
                              <w:pPr>
                                <w:spacing w:after="0" w:line="275" w:lineRule="auto"/>
                              </w:pPr>
                              <w:r>
                                <w:rPr>
                                  <w:rFonts w:cs="Calibri"/>
                                  <w:b/>
                                  <w:color w:val="000000"/>
                                  <w:lang w:val="ro-RO"/>
                                </w:rPr>
                                <w:t>Detalii suplimentare</w:t>
                              </w:r>
                              <w:r>
                                <w:rPr>
                                  <w:rFonts w:cs="Calibri"/>
                                  <w:b/>
                                  <w:color w:val="000000"/>
                                </w:rPr>
                                <w:t>:</w:t>
                              </w:r>
                              <w:r>
                                <w:rPr>
                                  <w:rFonts w:cs="Calibri"/>
                                  <w:color w:val="000000"/>
                                </w:rPr>
                                <w:t xml:space="preserve"> </w:t>
                              </w:r>
                            </w:p>
                            <w:p w14:paraId="5862BEE2" w14:textId="77777777" w:rsidR="00424B14" w:rsidRDefault="00773DC0" w:rsidP="00424B14">
                              <w:pPr>
                                <w:spacing w:after="0" w:line="275" w:lineRule="auto"/>
                                <w:rPr>
                                  <w:rFonts w:cs="Calibri"/>
                                  <w:i/>
                                  <w:color w:val="0563C1"/>
                                  <w:u w:val="single"/>
                                </w:rPr>
                              </w:pPr>
                              <w:hyperlink r:id="rId10" w:history="1">
                                <w:r w:rsidR="00424B14">
                                  <w:rPr>
                                    <w:rStyle w:val="Hyperlink"/>
                                    <w:rFonts w:cs="Calibri"/>
                                  </w:rPr>
                                  <w:t>comunicare@rcs-rds.ro</w:t>
                                </w:r>
                              </w:hyperlink>
                            </w:p>
                            <w:p w14:paraId="5F41C2F6" w14:textId="77777777" w:rsidR="00424B14" w:rsidRDefault="00424B14" w:rsidP="00424B14">
                              <w:pPr>
                                <w:spacing w:after="0" w:line="275" w:lineRule="auto"/>
                                <w:rPr>
                                  <w:rFonts w:cs="Calibri"/>
                                  <w:i/>
                                  <w:color w:val="0563C1"/>
                                  <w:u w:val="single"/>
                                  <w:lang w:val="ro-RO"/>
                                </w:rPr>
                              </w:pPr>
                              <w:r>
                                <w:rPr>
                                  <w:rFonts w:cs="Calibri"/>
                                  <w:i/>
                                  <w:color w:val="0563C1"/>
                                  <w:u w:val="single"/>
                                  <w:lang w:val="ro-RO"/>
                                </w:rPr>
                                <w:t>investors.relations@DIGI-communications.ro</w:t>
                              </w:r>
                            </w:p>
                            <w:p w14:paraId="78E12F8E" w14:textId="77777777" w:rsidR="00424B14" w:rsidRDefault="00424B14" w:rsidP="00424B14">
                              <w:pPr>
                                <w:spacing w:after="0" w:line="275" w:lineRule="auto"/>
                              </w:pPr>
                            </w:p>
                            <w:p w14:paraId="71EA52C5" w14:textId="77777777" w:rsidR="00424B14" w:rsidRDefault="00424B14" w:rsidP="00424B14"/>
                          </w:txbxContent>
                        </wps:txbx>
                        <wps:bodyPr rot="0" vert="horz" wrap="square" lIns="91440" tIns="45720" rIns="91440" bIns="45720" anchor="t" anchorCtr="0">
                          <a:noAutofit/>
                        </wps:bodyPr>
                      </wps:wsp>
                      <wps:wsp>
                        <wps:cNvPr id="18" name="Text Box 18"/>
                        <wps:cNvSpPr txBox="1">
                          <a:spLocks noChangeArrowheads="1"/>
                        </wps:cNvSpPr>
                        <wps:spPr bwMode="auto">
                          <a:xfrm>
                            <a:off x="5019675" y="209609"/>
                            <a:ext cx="2471547" cy="713232"/>
                          </a:xfrm>
                          <a:prstGeom prst="rect">
                            <a:avLst/>
                          </a:prstGeom>
                          <a:noFill/>
                          <a:ln w="9525">
                            <a:noFill/>
                            <a:miter lim="800000"/>
                          </a:ln>
                        </wps:spPr>
                        <wps:txbx>
                          <w:txbxContent>
                            <w:p w14:paraId="457636E4" w14:textId="77777777" w:rsidR="00424B14" w:rsidRDefault="00424B14" w:rsidP="00424B14">
                              <w:pPr>
                                <w:spacing w:after="0" w:line="100" w:lineRule="atLeast"/>
                                <w:rPr>
                                  <w:lang w:val="ro-RO"/>
                                </w:rPr>
                              </w:pPr>
                              <w:r>
                                <w:rPr>
                                  <w:rFonts w:cs="Calibri"/>
                                  <w:lang w:val="ro-RO"/>
                                </w:rPr>
                                <w:t>Telefon</w:t>
                              </w:r>
                              <w:r>
                                <w:rPr>
                                  <w:rFonts w:cs="Calibri"/>
                                  <w:lang w:val="en-GB"/>
                                </w:rPr>
                                <w:t xml:space="preserve">: </w:t>
                              </w:r>
                              <w:r>
                                <w:rPr>
                                  <w:rFonts w:cs="Calibri"/>
                                  <w:lang w:val="ro-RO"/>
                                </w:rPr>
                                <w:t xml:space="preserve">+40 314 004 244 </w:t>
                              </w:r>
                            </w:p>
                            <w:p w14:paraId="6324B53F" w14:textId="77777777" w:rsidR="00424B14" w:rsidRDefault="00773DC0" w:rsidP="00424B14">
                              <w:pPr>
                                <w:spacing w:after="0" w:line="100" w:lineRule="atLeast"/>
                              </w:pPr>
                              <w:hyperlink r:id="rId11" w:history="1">
                                <w:r w:rsidR="00424B14">
                                  <w:rPr>
                                    <w:rStyle w:val="Hyperlink"/>
                                    <w:rFonts w:cs="Calibri"/>
                                  </w:rPr>
                                  <w:t>www.</w:t>
                                </w:r>
                                <w:r w:rsidR="00424B14">
                                  <w:rPr>
                                    <w:rStyle w:val="Hyperlink"/>
                                    <w:rFonts w:cs="Calibri"/>
                                    <w:lang w:val="ro-RO"/>
                                  </w:rPr>
                                  <w:t>DIGI</w:t>
                                </w:r>
                                <w:r w:rsidR="00424B14">
                                  <w:rPr>
                                    <w:rStyle w:val="Hyperlink"/>
                                    <w:rFonts w:cs="Calibri"/>
                                  </w:rPr>
                                  <w:t>-communications.ro</w:t>
                                </w:r>
                              </w:hyperlink>
                            </w:p>
                          </w:txbxContent>
                        </wps:txbx>
                        <wps:bodyPr rot="0" vert="horz" wrap="square" lIns="91440" tIns="45720" rIns="91440" bIns="45720" anchor="t" anchorCtr="0">
                          <a:noAutofit/>
                        </wps:bodyPr>
                      </wps:wsp>
                    </wpg:wgp>
                  </a:graphicData>
                </a:graphic>
              </wp:anchor>
            </w:drawing>
          </mc:Choice>
          <mc:Fallback>
            <w:pict>
              <v:group w14:anchorId="6D608CD0" id="Group 15" o:spid="_x0000_s1027" style="position:absolute;margin-left:-60.9pt;margin-top:157.25pt;width:594pt;height:75.65pt;z-index:251661312" coordorigin="-95,-381" coordsize="75438,9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">
                <v:rect id="Rectangle 16" o:spid="_x0000_s1028" style="position:absolute;left:-95;top:-381;width:75437;height:8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" fillcolor="#d9d9d9" stroked="f" strokeweight="1pt"/>
                <v:shapetype id="_x0000_t202" coordsize="21600,21600" o:spt="202" path="m,l,21600r21600,l21600,xe">
                  <v:stroke joinstyle="miter"/>
                  <v:path gradientshapeok="t" o:connecttype="rect"/>
                </v:shapetype>
                <v:shape id="Text Box 2" o:spid="_x0000_s1029" type="#_x0000_t202" style="position:absolute;left:22155;top:95;width:28041;height:7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66F56D3" w14:textId="77777777" w:rsidR="00424B14" w:rsidRDefault="00424B14" w:rsidP="00424B14">
                        <w:pPr>
                          <w:spacing w:after="0" w:line="275" w:lineRule="auto"/>
                        </w:pPr>
                        <w:r>
                          <w:rPr>
                            <w:rFonts w:cs="Calibri"/>
                            <w:b/>
                            <w:color w:val="000000"/>
                            <w:lang w:val="ro-RO"/>
                          </w:rPr>
                          <w:t>Detalii suplimentare</w:t>
                        </w:r>
                        <w:r>
                          <w:rPr>
                            <w:rFonts w:cs="Calibri"/>
                            <w:b/>
                            <w:color w:val="000000"/>
                          </w:rPr>
                          <w:t>:</w:t>
                        </w:r>
                        <w:r>
                          <w:rPr>
                            <w:rFonts w:cs="Calibri"/>
                            <w:color w:val="000000"/>
                          </w:rPr>
                          <w:t xml:space="preserve"> </w:t>
                        </w:r>
                      </w:p>
                      <w:p w14:paraId="5862BEE2" w14:textId="77777777" w:rsidR="00424B14" w:rsidRDefault="00C623CA" w:rsidP="00424B14">
                        <w:pPr>
                          <w:spacing w:after="0" w:line="275" w:lineRule="auto"/>
                          <w:rPr>
                            <w:rFonts w:cs="Calibri"/>
                            <w:i/>
                            <w:color w:val="0563C1"/>
                            <w:u w:val="single"/>
                          </w:rPr>
                        </w:pPr>
                        <w:hyperlink r:id="rId12" w:history="1">
                          <w:r w:rsidR="00424B14">
                            <w:rPr>
                              <w:rStyle w:val="Hyperlink"/>
                              <w:rFonts w:cs="Calibri"/>
                            </w:rPr>
                            <w:t>comunicare@rcs-rds.ro</w:t>
                          </w:r>
                        </w:hyperlink>
                      </w:p>
                      <w:p w14:paraId="5F41C2F6" w14:textId="77777777" w:rsidR="00424B14" w:rsidRDefault="00424B14" w:rsidP="00424B14">
                        <w:pPr>
                          <w:spacing w:after="0" w:line="275" w:lineRule="auto"/>
                          <w:rPr>
                            <w:rFonts w:cs="Calibri"/>
                            <w:i/>
                            <w:color w:val="0563C1"/>
                            <w:u w:val="single"/>
                            <w:lang w:val="ro-RO"/>
                          </w:rPr>
                        </w:pPr>
                        <w:r>
                          <w:rPr>
                            <w:rFonts w:cs="Calibri"/>
                            <w:i/>
                            <w:color w:val="0563C1"/>
                            <w:u w:val="single"/>
                            <w:lang w:val="ro-RO"/>
                          </w:rPr>
                          <w:t>investors.relations@DIGI-communications.ro</w:t>
                        </w:r>
                      </w:p>
                      <w:p w14:paraId="78E12F8E" w14:textId="77777777" w:rsidR="00424B14" w:rsidRDefault="00424B14" w:rsidP="00424B14">
                        <w:pPr>
                          <w:spacing w:after="0" w:line="275" w:lineRule="auto"/>
                        </w:pPr>
                      </w:p>
                      <w:p w14:paraId="71EA52C5" w14:textId="77777777" w:rsidR="00424B14" w:rsidRDefault="00424B14" w:rsidP="00424B14"/>
                    </w:txbxContent>
                  </v:textbox>
                </v:shape>
                <v:shape id="Text Box 18" o:spid="_x0000_s1030" type="#_x0000_t202" style="position:absolute;left:50196;top:2096;width:24716;height:7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57636E4" w14:textId="77777777" w:rsidR="00424B14" w:rsidRDefault="00424B14" w:rsidP="00424B14">
                        <w:pPr>
                          <w:spacing w:after="0" w:line="100" w:lineRule="atLeast"/>
                          <w:rPr>
                            <w:lang w:val="ro-RO"/>
                          </w:rPr>
                        </w:pPr>
                        <w:r>
                          <w:rPr>
                            <w:rFonts w:cs="Calibri"/>
                            <w:lang w:val="ro-RO"/>
                          </w:rPr>
                          <w:t>Telefon</w:t>
                        </w:r>
                        <w:r>
                          <w:rPr>
                            <w:rFonts w:cs="Calibri"/>
                            <w:lang w:val="en-GB"/>
                          </w:rPr>
                          <w:t xml:space="preserve">: </w:t>
                        </w:r>
                        <w:r>
                          <w:rPr>
                            <w:rFonts w:cs="Calibri"/>
                            <w:lang w:val="ro-RO"/>
                          </w:rPr>
                          <w:t xml:space="preserve">+40 314 004 244 </w:t>
                        </w:r>
                      </w:p>
                      <w:p w14:paraId="6324B53F" w14:textId="77777777" w:rsidR="00424B14" w:rsidRDefault="00C623CA" w:rsidP="00424B14">
                        <w:pPr>
                          <w:spacing w:after="0" w:line="100" w:lineRule="atLeast"/>
                        </w:pPr>
                        <w:hyperlink r:id="rId13" w:history="1">
                          <w:r w:rsidR="00424B14">
                            <w:rPr>
                              <w:rStyle w:val="Hyperlink"/>
                              <w:rFonts w:cs="Calibri"/>
                            </w:rPr>
                            <w:t>www.</w:t>
                          </w:r>
                          <w:r w:rsidR="00424B14">
                            <w:rPr>
                              <w:rStyle w:val="Hyperlink"/>
                              <w:rFonts w:cs="Calibri"/>
                              <w:lang w:val="ro-RO"/>
                            </w:rPr>
                            <w:t>DIGI</w:t>
                          </w:r>
                          <w:r w:rsidR="00424B14">
                            <w:rPr>
                              <w:rStyle w:val="Hyperlink"/>
                              <w:rFonts w:cs="Calibri"/>
                            </w:rPr>
                            <w:t>-communications.ro</w:t>
                          </w:r>
                        </w:hyperlink>
                      </w:p>
                    </w:txbxContent>
                  </v:textbox>
                </v:shape>
              </v:group>
            </w:pict>
          </mc:Fallback>
        </mc:AlternateContent>
      </w:r>
      <w:r w:rsidRPr="00424B14">
        <w:rPr>
          <w:rFonts w:cs="Calibri"/>
          <w:i/>
          <w:iCs/>
          <w:color w:val="002060"/>
          <w:lang w:val="ro-RO"/>
        </w:rPr>
        <w:t>Digi Communications N.V. este compania mamă a operatorului de telecomunicații RCS &amp; RDS, liderul pieței de televiziune cu plată și servicii convergente de bandă largă din România, cu operațiuni în Spania, Italia și prezență în Portugalia</w:t>
      </w:r>
      <w:r w:rsidRPr="00581671">
        <w:rPr>
          <w:rFonts w:cs="Calibri"/>
          <w:i/>
          <w:iCs/>
          <w:color w:val="002060"/>
          <w:lang w:val="ro-RO"/>
        </w:rPr>
        <w:t xml:space="preserve"> și Belgia</w:t>
      </w:r>
      <w:r w:rsidRPr="00424B14">
        <w:rPr>
          <w:rFonts w:cs="Calibri"/>
          <w:i/>
          <w:iCs/>
          <w:color w:val="002060"/>
          <w:lang w:val="ro-RO"/>
        </w:rPr>
        <w:t>. Înființată în urmă cu mai bine de 28 de ani, compania operează în România o rețea extinsă și avansată de fibră optică. DIGI aduce pe piață cele mai accesibile servicii de comunicații electronice, atât în domeniul comunicațiilor fixe, cât și în cel al comunicațiilor mobile. De-a lungul timpului, acest avantaj competitiv a devenit un beneficiu pentru milioane de clienți, care au obținut acces mai rapid și mai accesibil la servicii de înaltă calitate.</w:t>
      </w:r>
    </w:p>
    <w:p w14:paraId="2F93D462" w14:textId="77CA2C63" w:rsidR="00DC034C" w:rsidRPr="00581671" w:rsidRDefault="00DC034C" w:rsidP="00424B14">
      <w:pPr>
        <w:suppressAutoHyphens w:val="0"/>
        <w:spacing w:afterLines="80" w:after="192" w:line="240" w:lineRule="auto"/>
        <w:jc w:val="both"/>
        <w:rPr>
          <w:rFonts w:cs="Calibri"/>
          <w:i/>
          <w:iCs/>
          <w:color w:val="002060"/>
          <w:lang w:val="ro-RO"/>
        </w:rPr>
      </w:pPr>
    </w:p>
    <w:sectPr w:rsidR="00DC034C" w:rsidRPr="00581671">
      <w:headerReference w:type="default" r:id="rId14"/>
      <w:pgSz w:w="11906" w:h="16838"/>
      <w:pgMar w:top="2880" w:right="1166" w:bottom="1440" w:left="1166" w:header="461"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29D5" w14:textId="77777777" w:rsidR="00785B08" w:rsidRDefault="00785B08">
      <w:pPr>
        <w:spacing w:line="240" w:lineRule="auto"/>
      </w:pPr>
      <w:r>
        <w:separator/>
      </w:r>
    </w:p>
  </w:endnote>
  <w:endnote w:type="continuationSeparator" w:id="0">
    <w:p w14:paraId="1F1C395E" w14:textId="77777777" w:rsidR="00785B08" w:rsidRDefault="00785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Neue">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8D8E" w14:textId="77777777" w:rsidR="00785B08" w:rsidRDefault="00785B08">
      <w:pPr>
        <w:spacing w:after="0" w:line="240" w:lineRule="auto"/>
      </w:pPr>
      <w:r>
        <w:separator/>
      </w:r>
    </w:p>
  </w:footnote>
  <w:footnote w:type="continuationSeparator" w:id="0">
    <w:p w14:paraId="3468A8DA" w14:textId="77777777" w:rsidR="00785B08" w:rsidRDefault="00785B08">
      <w:pPr>
        <w:spacing w:after="0" w:line="240" w:lineRule="auto"/>
      </w:pPr>
      <w:r>
        <w:continuationSeparator/>
      </w:r>
    </w:p>
  </w:footnote>
  <w:footnote w:id="1">
    <w:p w14:paraId="77BD89C2" w14:textId="088292AF" w:rsidR="00432AFC" w:rsidRPr="00432AFC" w:rsidRDefault="00432AFC">
      <w:pPr>
        <w:pStyle w:val="FootnoteText"/>
      </w:pPr>
      <w:r>
        <w:rPr>
          <w:rStyle w:val="FootnoteReference"/>
        </w:rPr>
        <w:footnoteRef/>
      </w:r>
      <w:r>
        <w:t xml:space="preserve"> </w:t>
      </w:r>
      <w:r w:rsidRPr="00432AFC">
        <w:t xml:space="preserve">  </w:t>
      </w:r>
      <w:r>
        <w:t>Informațiile comparative referitoare la rezultatele Grupului sunt prezentate doar pentru operațiunile continue și le exclud  pe cele din Ungaria înregistrate în T2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C857" w14:textId="77777777" w:rsidR="00DC034C" w:rsidRDefault="00DC034C">
    <w:pPr>
      <w:pStyle w:val="Header"/>
    </w:pPr>
  </w:p>
  <w:p w14:paraId="4436811B" w14:textId="77777777" w:rsidR="00DC034C" w:rsidRDefault="009E236D">
    <w:pPr>
      <w:pStyle w:val="Header"/>
    </w:pPr>
    <w:r>
      <w:rPr>
        <w:noProof/>
      </w:rPr>
      <w:drawing>
        <wp:anchor distT="0" distB="0" distL="0" distR="0" simplePos="0" relativeHeight="251659264" behindDoc="1" locked="0" layoutInCell="0" allowOverlap="1" wp14:anchorId="4801C8EB" wp14:editId="0785CBCC">
          <wp:simplePos x="0" y="0"/>
          <wp:positionH relativeFrom="column">
            <wp:posOffset>-768350</wp:posOffset>
          </wp:positionH>
          <wp:positionV relativeFrom="paragraph">
            <wp:posOffset>-296545</wp:posOffset>
          </wp:positionV>
          <wp:extent cx="7559675" cy="10695940"/>
          <wp:effectExtent l="0" t="0" r="0" b="0"/>
          <wp:wrapNone/>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pic:cNvPicPr>
                    <a:picLocks noChangeAspect="1" noChangeArrowheads="1"/>
                  </pic:cNvPicPr>
                </pic:nvPicPr>
                <pic:blipFill>
                  <a:blip r:embed="rId1"/>
                  <a:stretch>
                    <a:fillRect/>
                  </a:stretch>
                </pic:blipFill>
                <pic:spPr>
                  <a:xfrm>
                    <a:off x="0" y="0"/>
                    <a:ext cx="7559675" cy="1069594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068F0"/>
    <w:multiLevelType w:val="multilevel"/>
    <w:tmpl w:val="2A1068F0"/>
    <w:lvl w:ilvl="0">
      <w:start w:val="1"/>
      <w:numFmt w:val="bullet"/>
      <w:lvlText w:val=""/>
      <w:lvlJc w:val="left"/>
      <w:pPr>
        <w:tabs>
          <w:tab w:val="left" w:pos="0"/>
        </w:tabs>
        <w:ind w:left="940" w:hanging="360"/>
      </w:pPr>
      <w:rPr>
        <w:rFonts w:ascii="Symbol" w:hAnsi="Symbol" w:cs="Symbol" w:hint="default"/>
        <w:color w:val="002060"/>
      </w:rPr>
    </w:lvl>
    <w:lvl w:ilvl="1">
      <w:start w:val="1"/>
      <w:numFmt w:val="bullet"/>
      <w:lvlText w:val="o"/>
      <w:lvlJc w:val="left"/>
      <w:pPr>
        <w:tabs>
          <w:tab w:val="left" w:pos="0"/>
        </w:tabs>
        <w:ind w:left="1660" w:hanging="360"/>
      </w:pPr>
      <w:rPr>
        <w:rFonts w:ascii="Courier New" w:hAnsi="Courier New" w:cs="Courier New" w:hint="default"/>
      </w:rPr>
    </w:lvl>
    <w:lvl w:ilvl="2">
      <w:start w:val="1"/>
      <w:numFmt w:val="bullet"/>
      <w:lvlText w:val=""/>
      <w:lvlJc w:val="left"/>
      <w:pPr>
        <w:tabs>
          <w:tab w:val="left" w:pos="0"/>
        </w:tabs>
        <w:ind w:left="2380" w:hanging="360"/>
      </w:pPr>
      <w:rPr>
        <w:rFonts w:ascii="Wingdings" w:hAnsi="Wingdings" w:cs="Wingdings" w:hint="default"/>
      </w:rPr>
    </w:lvl>
    <w:lvl w:ilvl="3">
      <w:start w:val="1"/>
      <w:numFmt w:val="bullet"/>
      <w:lvlText w:val=""/>
      <w:lvlJc w:val="left"/>
      <w:pPr>
        <w:tabs>
          <w:tab w:val="left" w:pos="0"/>
        </w:tabs>
        <w:ind w:left="3100" w:hanging="360"/>
      </w:pPr>
      <w:rPr>
        <w:rFonts w:ascii="Symbol" w:hAnsi="Symbol" w:cs="Symbol" w:hint="default"/>
      </w:rPr>
    </w:lvl>
    <w:lvl w:ilvl="4">
      <w:start w:val="1"/>
      <w:numFmt w:val="bullet"/>
      <w:lvlText w:val="o"/>
      <w:lvlJc w:val="left"/>
      <w:pPr>
        <w:tabs>
          <w:tab w:val="left" w:pos="0"/>
        </w:tabs>
        <w:ind w:left="3820" w:hanging="360"/>
      </w:pPr>
      <w:rPr>
        <w:rFonts w:ascii="Courier New" w:hAnsi="Courier New" w:cs="Courier New" w:hint="default"/>
      </w:rPr>
    </w:lvl>
    <w:lvl w:ilvl="5">
      <w:start w:val="1"/>
      <w:numFmt w:val="bullet"/>
      <w:lvlText w:val=""/>
      <w:lvlJc w:val="left"/>
      <w:pPr>
        <w:tabs>
          <w:tab w:val="left" w:pos="0"/>
        </w:tabs>
        <w:ind w:left="4540" w:hanging="360"/>
      </w:pPr>
      <w:rPr>
        <w:rFonts w:ascii="Wingdings" w:hAnsi="Wingdings" w:cs="Wingdings" w:hint="default"/>
      </w:rPr>
    </w:lvl>
    <w:lvl w:ilvl="6">
      <w:start w:val="1"/>
      <w:numFmt w:val="bullet"/>
      <w:lvlText w:val=""/>
      <w:lvlJc w:val="left"/>
      <w:pPr>
        <w:tabs>
          <w:tab w:val="left" w:pos="0"/>
        </w:tabs>
        <w:ind w:left="5260" w:hanging="360"/>
      </w:pPr>
      <w:rPr>
        <w:rFonts w:ascii="Symbol" w:hAnsi="Symbol" w:cs="Symbol" w:hint="default"/>
      </w:rPr>
    </w:lvl>
    <w:lvl w:ilvl="7">
      <w:start w:val="1"/>
      <w:numFmt w:val="bullet"/>
      <w:lvlText w:val="o"/>
      <w:lvlJc w:val="left"/>
      <w:pPr>
        <w:tabs>
          <w:tab w:val="left" w:pos="0"/>
        </w:tabs>
        <w:ind w:left="5980" w:hanging="360"/>
      </w:pPr>
      <w:rPr>
        <w:rFonts w:ascii="Courier New" w:hAnsi="Courier New" w:cs="Courier New" w:hint="default"/>
      </w:rPr>
    </w:lvl>
    <w:lvl w:ilvl="8">
      <w:start w:val="1"/>
      <w:numFmt w:val="bullet"/>
      <w:lvlText w:val=""/>
      <w:lvlJc w:val="left"/>
      <w:pPr>
        <w:tabs>
          <w:tab w:val="left" w:pos="0"/>
        </w:tabs>
        <w:ind w:left="6700" w:hanging="360"/>
      </w:pPr>
      <w:rPr>
        <w:rFonts w:ascii="Wingdings" w:hAnsi="Wingdings" w:cs="Wingdings" w:hint="default"/>
      </w:rPr>
    </w:lvl>
  </w:abstractNum>
  <w:num w:numId="1" w16cid:durableId="65657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18"/>
    <w:rsid w:val="F7CF1D3F"/>
    <w:rsid w:val="000110E2"/>
    <w:rsid w:val="000170D3"/>
    <w:rsid w:val="00056909"/>
    <w:rsid w:val="0006221F"/>
    <w:rsid w:val="00090CC5"/>
    <w:rsid w:val="000A6931"/>
    <w:rsid w:val="000B2FC6"/>
    <w:rsid w:val="000C72B5"/>
    <w:rsid w:val="000E261C"/>
    <w:rsid w:val="00101D61"/>
    <w:rsid w:val="00124345"/>
    <w:rsid w:val="00143C33"/>
    <w:rsid w:val="00167C3D"/>
    <w:rsid w:val="001917A5"/>
    <w:rsid w:val="001A26FA"/>
    <w:rsid w:val="001B2398"/>
    <w:rsid w:val="001B4DDB"/>
    <w:rsid w:val="001C0E9F"/>
    <w:rsid w:val="001D5F5D"/>
    <w:rsid w:val="001F5166"/>
    <w:rsid w:val="002050CD"/>
    <w:rsid w:val="0020746C"/>
    <w:rsid w:val="00213C4C"/>
    <w:rsid w:val="0021680C"/>
    <w:rsid w:val="002263E4"/>
    <w:rsid w:val="002337BE"/>
    <w:rsid w:val="00252521"/>
    <w:rsid w:val="00255720"/>
    <w:rsid w:val="002839DE"/>
    <w:rsid w:val="002B1644"/>
    <w:rsid w:val="002D43EF"/>
    <w:rsid w:val="003428E9"/>
    <w:rsid w:val="00342EB1"/>
    <w:rsid w:val="003C0EE6"/>
    <w:rsid w:val="003C7E7D"/>
    <w:rsid w:val="003E4FA8"/>
    <w:rsid w:val="003F10A8"/>
    <w:rsid w:val="00424B14"/>
    <w:rsid w:val="00432AFC"/>
    <w:rsid w:val="00442408"/>
    <w:rsid w:val="0045540F"/>
    <w:rsid w:val="00457B03"/>
    <w:rsid w:val="00480CEF"/>
    <w:rsid w:val="004B7A2E"/>
    <w:rsid w:val="004C46C3"/>
    <w:rsid w:val="004D24C6"/>
    <w:rsid w:val="004D3B34"/>
    <w:rsid w:val="005008FC"/>
    <w:rsid w:val="005051E7"/>
    <w:rsid w:val="00527F0C"/>
    <w:rsid w:val="005610A7"/>
    <w:rsid w:val="00574DA6"/>
    <w:rsid w:val="00581671"/>
    <w:rsid w:val="00582A90"/>
    <w:rsid w:val="005B7B39"/>
    <w:rsid w:val="005D4458"/>
    <w:rsid w:val="006028A3"/>
    <w:rsid w:val="00640A8E"/>
    <w:rsid w:val="00675A0A"/>
    <w:rsid w:val="00687D18"/>
    <w:rsid w:val="006B469A"/>
    <w:rsid w:val="006B5F2A"/>
    <w:rsid w:val="006D7A42"/>
    <w:rsid w:val="006E4261"/>
    <w:rsid w:val="006E6A54"/>
    <w:rsid w:val="0071046C"/>
    <w:rsid w:val="00711B48"/>
    <w:rsid w:val="007206EA"/>
    <w:rsid w:val="00730024"/>
    <w:rsid w:val="0074175F"/>
    <w:rsid w:val="007730BD"/>
    <w:rsid w:val="00773DC0"/>
    <w:rsid w:val="00784149"/>
    <w:rsid w:val="00785B08"/>
    <w:rsid w:val="007A5423"/>
    <w:rsid w:val="007C5483"/>
    <w:rsid w:val="007E49D3"/>
    <w:rsid w:val="007F1F42"/>
    <w:rsid w:val="00812644"/>
    <w:rsid w:val="008242B2"/>
    <w:rsid w:val="008331E0"/>
    <w:rsid w:val="0086029F"/>
    <w:rsid w:val="0086667E"/>
    <w:rsid w:val="00880BDD"/>
    <w:rsid w:val="008872E9"/>
    <w:rsid w:val="008A2265"/>
    <w:rsid w:val="008A53AD"/>
    <w:rsid w:val="008B513A"/>
    <w:rsid w:val="008E4587"/>
    <w:rsid w:val="00923A92"/>
    <w:rsid w:val="00932150"/>
    <w:rsid w:val="00936C1F"/>
    <w:rsid w:val="00936E83"/>
    <w:rsid w:val="009467A6"/>
    <w:rsid w:val="00966990"/>
    <w:rsid w:val="00967744"/>
    <w:rsid w:val="00972574"/>
    <w:rsid w:val="009B30CF"/>
    <w:rsid w:val="009C3C0E"/>
    <w:rsid w:val="009E0EC7"/>
    <w:rsid w:val="009E236D"/>
    <w:rsid w:val="009F1AD8"/>
    <w:rsid w:val="00A01A53"/>
    <w:rsid w:val="00A51DC9"/>
    <w:rsid w:val="00A5240F"/>
    <w:rsid w:val="00A602D9"/>
    <w:rsid w:val="00A62DE8"/>
    <w:rsid w:val="00AB506B"/>
    <w:rsid w:val="00AC1E9B"/>
    <w:rsid w:val="00AE322C"/>
    <w:rsid w:val="00AE643E"/>
    <w:rsid w:val="00AF7098"/>
    <w:rsid w:val="00B122B4"/>
    <w:rsid w:val="00B27C74"/>
    <w:rsid w:val="00B44C39"/>
    <w:rsid w:val="00B61312"/>
    <w:rsid w:val="00B637BE"/>
    <w:rsid w:val="00B86DCF"/>
    <w:rsid w:val="00B91B0F"/>
    <w:rsid w:val="00BB70DB"/>
    <w:rsid w:val="00BF026D"/>
    <w:rsid w:val="00C30E39"/>
    <w:rsid w:val="00C430FC"/>
    <w:rsid w:val="00C43B26"/>
    <w:rsid w:val="00C51434"/>
    <w:rsid w:val="00C60965"/>
    <w:rsid w:val="00C623CA"/>
    <w:rsid w:val="00C663CB"/>
    <w:rsid w:val="00C7425D"/>
    <w:rsid w:val="00CB2BF4"/>
    <w:rsid w:val="00CC64C4"/>
    <w:rsid w:val="00CD060E"/>
    <w:rsid w:val="00CE15C3"/>
    <w:rsid w:val="00D00AE4"/>
    <w:rsid w:val="00D051DE"/>
    <w:rsid w:val="00D16A90"/>
    <w:rsid w:val="00D16C9A"/>
    <w:rsid w:val="00D219C5"/>
    <w:rsid w:val="00D24590"/>
    <w:rsid w:val="00D45FBB"/>
    <w:rsid w:val="00D861AA"/>
    <w:rsid w:val="00D86E02"/>
    <w:rsid w:val="00DA4FC2"/>
    <w:rsid w:val="00DC034C"/>
    <w:rsid w:val="00DE1A24"/>
    <w:rsid w:val="00DF151D"/>
    <w:rsid w:val="00DF201F"/>
    <w:rsid w:val="00E327F0"/>
    <w:rsid w:val="00E32AD6"/>
    <w:rsid w:val="00E3360F"/>
    <w:rsid w:val="00E33A61"/>
    <w:rsid w:val="00E60905"/>
    <w:rsid w:val="00E81BF6"/>
    <w:rsid w:val="00E82D89"/>
    <w:rsid w:val="00EC64CF"/>
    <w:rsid w:val="00ED5089"/>
    <w:rsid w:val="00EF23E7"/>
    <w:rsid w:val="00F41183"/>
    <w:rsid w:val="00F53EC9"/>
    <w:rsid w:val="00F66FD6"/>
    <w:rsid w:val="00F72D00"/>
    <w:rsid w:val="00F849C1"/>
    <w:rsid w:val="00FA66F0"/>
    <w:rsid w:val="00FE4CE5"/>
    <w:rsid w:val="00FF5042"/>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85B24F"/>
  <w15:docId w15:val="{1A61226B-F37A-42A4-A562-00B6C1AC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spacing w:after="0" w:line="140" w:lineRule="atLeast"/>
      <w:outlineLvl w:val="0"/>
    </w:pPr>
    <w:rPr>
      <w:rFonts w:eastAsiaTheme="minorHAnsi" w:cs="Calibri"/>
      <w:b/>
      <w:kern w:val="2"/>
      <w:sz w:val="32"/>
      <w:szCs w:val="24"/>
      <w:lang w:val="ro-RO"/>
    </w:rPr>
  </w:style>
  <w:style w:type="paragraph" w:styleId="Heading2">
    <w:name w:val="heading 2"/>
    <w:basedOn w:val="Normal"/>
    <w:next w:val="Normal"/>
    <w:uiPriority w:val="9"/>
    <w:unhideWhenUsed/>
    <w:qFormat/>
    <w:pPr>
      <w:keepNext/>
      <w:keepLines/>
      <w:spacing w:before="260" w:after="260" w:line="415"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qFormat/>
    <w:pPr>
      <w:spacing w:after="140"/>
    </w:pPr>
  </w:style>
  <w:style w:type="paragraph" w:styleId="Caption">
    <w:name w:val="caption"/>
    <w:basedOn w:val="Normal"/>
    <w:next w:val="Normal"/>
    <w:qFormat/>
    <w:pPr>
      <w:suppressLineNumbers/>
      <w:spacing w:before="120" w:after="120"/>
    </w:pPr>
    <w:rPr>
      <w:rFonts w:cs="Arial"/>
      <w:i/>
      <w:iCs/>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qFormat/>
    <w:pPr>
      <w:snapToGrid w:val="0"/>
    </w:pPr>
    <w:rPr>
      <w:sz w:val="18"/>
      <w:szCs w:val="18"/>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pPr>
    <w:rPr>
      <w:rFonts w:ascii="SimSun" w:hAnsi="SimSun"/>
      <w:sz w:val="24"/>
      <w:szCs w:val="24"/>
      <w:lang w:eastAsia="zh-CN"/>
    </w:rPr>
  </w:style>
  <w:style w:type="character" w:styleId="Hyperlink">
    <w:name w:val="Hyperlink"/>
    <w:uiPriority w:val="99"/>
    <w:unhideWhenUsed/>
    <w:qFormat/>
    <w:rPr>
      <w:rFonts w:ascii="Calibri" w:hAnsi="Calibri"/>
      <w:i/>
      <w:color w:val="0563C1"/>
      <w:u w:val="single"/>
    </w:rPr>
  </w:style>
  <w:style w:type="paragraph" w:styleId="List">
    <w:name w:val="List"/>
    <w:basedOn w:val="BodyText"/>
    <w:qFormat/>
    <w:rPr>
      <w:rFonts w:cs="Arial"/>
    </w:rPr>
  </w:style>
  <w:style w:type="paragraph" w:styleId="NormalWeb">
    <w:name w:val="Normal (Web)"/>
    <w:basedOn w:val="Normal"/>
    <w:qFormat/>
    <w:pPr>
      <w:spacing w:beforeAutospacing="1" w:afterAutospacing="1" w:line="252" w:lineRule="auto"/>
      <w:textAlignment w:val="baseline"/>
    </w:pPr>
    <w:rPr>
      <w:sz w:val="24"/>
      <w:szCs w:val="24"/>
      <w:lang w:eastAsia="zh-CN"/>
    </w:rPr>
  </w:style>
  <w:style w:type="paragraph" w:styleId="PlainText">
    <w:name w:val="Plain Text"/>
    <w:basedOn w:val="Normal"/>
    <w:qFormat/>
    <w:pPr>
      <w:spacing w:after="0" w:line="240" w:lineRule="auto"/>
    </w:pPr>
    <w:rPr>
      <w:rFonts w:cs="Arial"/>
      <w:szCs w:val="21"/>
    </w:rPr>
  </w:style>
  <w:style w:type="character" w:styleId="Strong">
    <w:name w:val="Strong"/>
    <w:basedOn w:val="DefaultParagraphFon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basedOn w:val="DefaultParagraphFont"/>
    <w:uiPriority w:val="99"/>
    <w:semiHidden/>
    <w:unhideWhenUsed/>
    <w:qFormat/>
    <w:rPr>
      <w:vertAlign w:val="superscript"/>
    </w:rPr>
  </w:style>
  <w:style w:type="character" w:customStyle="1" w:styleId="FootnoteAnchor">
    <w:name w:val="Footnote Anchor"/>
    <w:qFormat/>
    <w:rPr>
      <w:vertAlign w:val="superscript"/>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qFormat/>
    <w:rPr>
      <w:rFonts w:ascii="Calibri" w:eastAsiaTheme="minorHAnsi" w:hAnsi="Calibri" w:cs="Calibri"/>
      <w:b/>
      <w:kern w:val="2"/>
      <w:sz w:val="32"/>
      <w:szCs w:val="24"/>
      <w:lang w:val="ro-RO"/>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Calibri" w:eastAsia="Calibri" w:hAnsi="Calibri"/>
    </w:rPr>
  </w:style>
  <w:style w:type="character" w:customStyle="1" w:styleId="CommentSubjectChar">
    <w:name w:val="Comment Subject Char"/>
    <w:basedOn w:val="CommentTextChar"/>
    <w:link w:val="CommentSubject"/>
    <w:uiPriority w:val="99"/>
    <w:semiHidden/>
    <w:qFormat/>
    <w:rPr>
      <w:rFonts w:ascii="Calibri" w:eastAsia="Calibri" w:hAnsi="Calibri"/>
      <w:b/>
      <w:bCs/>
    </w:rPr>
  </w:style>
  <w:style w:type="character" w:customStyle="1" w:styleId="FootnoteTextChar">
    <w:name w:val="Footnote Text Char"/>
    <w:basedOn w:val="DefaultParagraphFont"/>
    <w:link w:val="FootnoteText"/>
    <w:uiPriority w:val="99"/>
    <w:semiHidden/>
    <w:qFormat/>
    <w:rPr>
      <w:rFonts w:ascii="Calibri" w:eastAsia="Calibri" w:hAnsi="Calibr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customStyle="1" w:styleId="western">
    <w:name w:val="western"/>
    <w:basedOn w:val="Normal"/>
    <w:qFormat/>
    <w:pPr>
      <w:spacing w:beforeAutospacing="1" w:after="119" w:line="240" w:lineRule="auto"/>
    </w:pPr>
    <w:rPr>
      <w:rFonts w:ascii="Times New Roman" w:eastAsia="Times New Roman" w:hAnsi="Times New Roman"/>
      <w:sz w:val="24"/>
      <w:szCs w:val="24"/>
      <w:lang w:val="ro-RO" w:eastAsia="ro-RO"/>
    </w:rPr>
  </w:style>
  <w:style w:type="paragraph" w:styleId="ListParagraph">
    <w:name w:val="List Paragraph"/>
    <w:basedOn w:val="Normal"/>
    <w:uiPriority w:val="34"/>
    <w:qFormat/>
    <w:pPr>
      <w:ind w:left="720"/>
      <w:contextualSpacing/>
    </w:pPr>
  </w:style>
  <w:style w:type="paragraph" w:customStyle="1" w:styleId="Revision1">
    <w:name w:val="Revision1"/>
    <w:uiPriority w:val="99"/>
    <w:semiHidden/>
    <w:qFormat/>
    <w:pPr>
      <w:suppressAutoHyphens/>
    </w:pPr>
    <w:rPr>
      <w:rFonts w:ascii="Calibri" w:eastAsia="Calibri" w:hAnsi="Calibri"/>
      <w:sz w:val="22"/>
      <w:szCs w:val="22"/>
    </w:rPr>
  </w:style>
  <w:style w:type="paragraph" w:customStyle="1" w:styleId="Revision2">
    <w:name w:val="Revision2"/>
    <w:uiPriority w:val="99"/>
    <w:semiHidden/>
    <w:qFormat/>
    <w:pPr>
      <w:suppressAutoHyphens/>
    </w:pPr>
    <w:rPr>
      <w:rFonts w:ascii="Calibri" w:eastAsia="Calibri" w:hAnsi="Calibri"/>
      <w:sz w:val="22"/>
      <w:szCs w:val="22"/>
    </w:rPr>
  </w:style>
  <w:style w:type="paragraph" w:customStyle="1" w:styleId="amparagraph">
    <w:name w:val="amparagraph"/>
    <w:basedOn w:val="Normal"/>
    <w:qFormat/>
    <w:pPr>
      <w:spacing w:beforeAutospacing="1" w:afterAutospacing="1" w:line="240" w:lineRule="auto"/>
    </w:pPr>
    <w:rPr>
      <w:rFonts w:ascii="Times New Roman" w:eastAsia="Times New Roman" w:hAnsi="Times New Roman"/>
      <w:sz w:val="24"/>
      <w:szCs w:val="24"/>
      <w:lang w:val="ro-RO" w:eastAsia="ro-RO"/>
    </w:rPr>
  </w:style>
  <w:style w:type="paragraph" w:customStyle="1" w:styleId="Revision3">
    <w:name w:val="Revision3"/>
    <w:uiPriority w:val="99"/>
    <w:semiHidden/>
    <w:qFormat/>
    <w:pPr>
      <w:suppressAutoHyphens/>
    </w:pPr>
    <w:rPr>
      <w:rFonts w:ascii="Calibri" w:eastAsia="Calibri" w:hAnsi="Calibri"/>
      <w:sz w:val="22"/>
      <w:szCs w:val="22"/>
    </w:rPr>
  </w:style>
  <w:style w:type="paragraph" w:customStyle="1" w:styleId="Revision4">
    <w:name w:val="Revision4"/>
    <w:uiPriority w:val="99"/>
    <w:semiHidden/>
    <w:qFormat/>
    <w:pPr>
      <w:suppressAutoHyphens/>
    </w:pPr>
    <w:rPr>
      <w:rFonts w:ascii="Calibri" w:eastAsia="Calibri" w:hAnsi="Calibri"/>
      <w:sz w:val="22"/>
      <w:szCs w:val="22"/>
    </w:rPr>
  </w:style>
  <w:style w:type="paragraph" w:customStyle="1" w:styleId="Revision5">
    <w:name w:val="Revision5"/>
    <w:uiPriority w:val="99"/>
    <w:semiHidden/>
    <w:qFormat/>
    <w:pPr>
      <w:suppressAutoHyphens/>
    </w:pPr>
    <w:rPr>
      <w:rFonts w:ascii="Calibri" w:eastAsia="Calibri" w:hAnsi="Calibri"/>
      <w:sz w:val="22"/>
      <w:szCs w:val="22"/>
    </w:rPr>
  </w:style>
  <w:style w:type="paragraph" w:customStyle="1" w:styleId="Revision6">
    <w:name w:val="Revision6"/>
    <w:uiPriority w:val="99"/>
    <w:semiHidden/>
    <w:qFormat/>
    <w:pPr>
      <w:suppressAutoHyphens/>
    </w:pPr>
    <w:rPr>
      <w:rFonts w:ascii="Calibri" w:eastAsia="Calibri" w:hAnsi="Calibri"/>
      <w:sz w:val="22"/>
      <w:szCs w:val="22"/>
    </w:rPr>
  </w:style>
  <w:style w:type="paragraph" w:customStyle="1" w:styleId="Revision7">
    <w:name w:val="Revision7"/>
    <w:uiPriority w:val="99"/>
    <w:semiHidden/>
    <w:qFormat/>
    <w:pPr>
      <w:suppressAutoHyphens/>
    </w:pPr>
    <w:rPr>
      <w:rFonts w:ascii="Calibri" w:eastAsia="Calibri" w:hAnsi="Calibri"/>
      <w:sz w:val="22"/>
      <w:szCs w:val="22"/>
    </w:rPr>
  </w:style>
  <w:style w:type="paragraph" w:customStyle="1" w:styleId="Revision8">
    <w:name w:val="Revision8"/>
    <w:uiPriority w:val="99"/>
    <w:semiHidden/>
    <w:qFormat/>
    <w:pPr>
      <w:suppressAutoHyphens/>
    </w:pPr>
    <w:rPr>
      <w:rFonts w:ascii="Calibri" w:eastAsia="Calibri" w:hAnsi="Calibri"/>
      <w:sz w:val="22"/>
      <w:szCs w:val="22"/>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styleId="PlainTable4">
    <w:name w:val="Plain Table 4"/>
    <w:basedOn w:val="TableNormal"/>
    <w:uiPriority w:val="44"/>
    <w:rsid w:val="009F1AD8"/>
    <w:pPr>
      <w:suppressAutoHyphens/>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D00AE4"/>
    <w:rPr>
      <w:rFonts w:ascii="Calibri" w:eastAsia="Calibri" w:hAnsi="Calibri"/>
      <w:sz w:val="22"/>
      <w:szCs w:val="22"/>
    </w:rPr>
  </w:style>
  <w:style w:type="paragraph" w:customStyle="1" w:styleId="Default">
    <w:name w:val="Default"/>
    <w:rsid w:val="00D00AE4"/>
    <w:pPr>
      <w:autoSpaceDE w:val="0"/>
      <w:autoSpaceDN w:val="0"/>
      <w:adjustRightInd w:val="0"/>
    </w:pPr>
    <w:rPr>
      <w:rFonts w:ascii="Helvetica Neue" w:hAnsi="Helvetica Neue" w:cs="Helvetica Neue"/>
      <w:color w:val="000000"/>
      <w:sz w:val="24"/>
      <w:szCs w:val="24"/>
    </w:rPr>
  </w:style>
  <w:style w:type="character" w:styleId="FootnoteReference">
    <w:name w:val="footnote reference"/>
    <w:basedOn w:val="DefaultParagraphFont"/>
    <w:uiPriority w:val="99"/>
    <w:semiHidden/>
    <w:unhideWhenUsed/>
    <w:qFormat/>
    <w:rsid w:val="00342EB1"/>
    <w:rPr>
      <w:vertAlign w:val="superscript"/>
    </w:rPr>
  </w:style>
  <w:style w:type="table" w:customStyle="1" w:styleId="PlainTable411">
    <w:name w:val="Plain Table 411"/>
    <w:basedOn w:val="TableNormal"/>
    <w:uiPriority w:val="44"/>
    <w:qFormat/>
    <w:rsid w:val="00923A92"/>
    <w:pPr>
      <w:suppressAutoHyphens/>
    </w:p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24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3326">
      <w:bodyDiv w:val="1"/>
      <w:marLeft w:val="0"/>
      <w:marRight w:val="0"/>
      <w:marTop w:val="0"/>
      <w:marBottom w:val="0"/>
      <w:divBdr>
        <w:top w:val="none" w:sz="0" w:space="0" w:color="auto"/>
        <w:left w:val="none" w:sz="0" w:space="0" w:color="auto"/>
        <w:bottom w:val="none" w:sz="0" w:space="0" w:color="auto"/>
        <w:right w:val="none" w:sz="0" w:space="0" w:color="auto"/>
      </w:divBdr>
    </w:div>
    <w:div w:id="1998604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gi-communications.ro"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unicare@rcs-rds.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gi-communications.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municare@rcs-rds.ro" TargetMode="External"/><Relationship Id="rId4" Type="http://schemas.openxmlformats.org/officeDocument/2006/relationships/styles" Target="styles.xml"/><Relationship Id="rId9" Type="http://schemas.openxmlformats.org/officeDocument/2006/relationships/hyperlink" Target="https://www.digi-communications.ro/ro/see-file/Digi-Financial-report-H1-2022-RO.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F7E67-2281-42D4-B543-ED28299C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Patrichi</dc:creator>
  <cp:lastModifiedBy>MIHAELA PADUROIU</cp:lastModifiedBy>
  <cp:revision>27</cp:revision>
  <cp:lastPrinted>2022-05-17T07:42:00Z</cp:lastPrinted>
  <dcterms:created xsi:type="dcterms:W3CDTF">2022-08-11T16:22:00Z</dcterms:created>
  <dcterms:modified xsi:type="dcterms:W3CDTF">2022-08-18T15:19:00Z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033186503E0A45E7863FC73CD357A7DD</vt:lpwstr>
  </property>
  <property fmtid="{D5CDD505-2E9C-101B-9397-08002B2CF9AE}" pid="3" name="KSOProductBuildVer">
    <vt:lpwstr>1033-11.1.0.10976</vt:lpwstr>
  </property>
</Properties>
</file>